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4056" w:beforeLines="1300"/>
        <w:jc w:val="center"/>
        <w:textAlignment w:val="auto"/>
        <w:rPr>
          <w:rFonts w:ascii="仿宋_GB2312" w:hAnsi="仿宋_GB2312" w:eastAsia="仿宋_GB2312" w:cs="仿宋_GB2312"/>
          <w:color w:val="auto"/>
          <w:sz w:val="32"/>
          <w:szCs w:val="32"/>
        </w:rPr>
      </w:pPr>
      <w:r>
        <w:rPr>
          <w:sz w:val="32"/>
        </w:rPr>
        <mc:AlternateContent>
          <mc:Choice Requires="wps">
            <w:drawing>
              <wp:anchor distT="0" distB="0" distL="114300" distR="114300" simplePos="0" relativeHeight="251658240" behindDoc="0" locked="0" layoutInCell="1" allowOverlap="1">
                <wp:simplePos x="0" y="0"/>
                <wp:positionH relativeFrom="column">
                  <wp:posOffset>-525780</wp:posOffset>
                </wp:positionH>
                <wp:positionV relativeFrom="paragraph">
                  <wp:posOffset>-132080</wp:posOffset>
                </wp:positionV>
                <wp:extent cx="1198880" cy="609600"/>
                <wp:effectExtent l="4445" t="4445" r="15875" b="14605"/>
                <wp:wrapNone/>
                <wp:docPr id="2" name="文本框 2"/>
                <wp:cNvGraphicFramePr/>
                <a:graphic xmlns:a="http://schemas.openxmlformats.org/drawingml/2006/main">
                  <a:graphicData uri="http://schemas.microsoft.com/office/word/2010/wordprocessingShape">
                    <wps:wsp>
                      <wps:cNvSpPr txBox="1"/>
                      <wps:spPr>
                        <a:xfrm>
                          <a:off x="635000" y="982345"/>
                          <a:ext cx="1198880" cy="609600"/>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pPr>
                              <w:rPr>
                                <w:rFonts w:hint="default" w:eastAsia="宋体"/>
                                <w:b/>
                                <w:bCs/>
                                <w:sz w:val="32"/>
                                <w:szCs w:val="32"/>
                                <w:lang w:val="en-US" w:eastAsia="zh-CN"/>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1.4pt;margin-top:-10.4pt;height:48pt;width:94.4pt;z-index:251658240;mso-width-relative:page;mso-height-relative:page;" fillcolor="#FFFFFF [3201]" filled="t" stroked="t" coordsize="21600,21600" o:gfxdata="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39MBWNcA&#10;AAAKAQAADwAAAAAAAAABACAAAAAiAAAAZHJzL2Rvd25yZXYueG1sUEsBAhQAFAAAAAgAh07iQIjY&#10;F4ZZAgAAwgQAAA4AAAAAAAAAAQAgAAAAJgEAAGRycy9lMm9Eb2MueG1sUEsFBgAAAAAGAAYAWQEA&#10;APEFAAAAAA==&#10;">
                <v:fill on="t" focussize="0,0"/>
                <v:stroke weight="0.5pt" color="#FFFFFF [3212]" joinstyle="round"/>
                <v:imagedata o:title=""/>
                <o:lock v:ext="edit" aspectratio="f"/>
                <v:textbox>
                  <w:txbxContent>
                    <w:p>
                      <w:pPr>
                        <w:rPr>
                          <w:rFonts w:hint="default" w:eastAsia="宋体"/>
                          <w:b/>
                          <w:bCs/>
                          <w:sz w:val="32"/>
                          <w:szCs w:val="32"/>
                          <w:lang w:val="en-US" w:eastAsia="zh-CN"/>
                        </w:rPr>
                      </w:pPr>
                    </w:p>
                  </w:txbxContent>
                </v:textbox>
              </v:shape>
            </w:pict>
          </mc:Fallback>
        </mc:AlternateContent>
      </w:r>
      <w:r>
        <w:rPr>
          <w:rFonts w:hint="eastAsia" w:ascii="仿宋_GB2312" w:hAnsi="仿宋_GB2312" w:eastAsia="仿宋_GB2312" w:cs="仿宋_GB2312"/>
          <w:color w:val="auto"/>
          <w:sz w:val="32"/>
          <w:szCs w:val="32"/>
        </w:rPr>
        <w:t>宿退役军人办〔202</w:t>
      </w: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号</w:t>
      </w:r>
    </w:p>
    <w:p>
      <w:pPr>
        <w:keepNext w:val="0"/>
        <w:keepLines w:val="0"/>
        <w:pageBreakBefore w:val="0"/>
        <w:widowControl w:val="0"/>
        <w:kinsoku/>
        <w:wordWrap/>
        <w:overflowPunct w:val="0"/>
        <w:topLinePunct w:val="0"/>
        <w:autoSpaceDE/>
        <w:autoSpaceDN/>
        <w:bidi w:val="0"/>
        <w:adjustRightInd/>
        <w:snapToGrid/>
        <w:spacing w:before="625" w:beforeLines="200" w:line="600" w:lineRule="exact"/>
        <w:ind w:left="0" w:leftChars="0"/>
        <w:jc w:val="center"/>
        <w:textAlignment w:val="auto"/>
        <w:rPr>
          <w:rFonts w:hint="eastAsia" w:ascii="仿宋_GB2312" w:hAnsi="仿宋_GB2312" w:eastAsia="方正小标宋简体" w:cs="Times New Roman"/>
          <w:color w:val="auto"/>
          <w:sz w:val="44"/>
          <w:szCs w:val="44"/>
          <w:u w:val="none"/>
          <w:lang w:eastAsia="zh-CN"/>
        </w:rPr>
      </w:pPr>
      <w:r>
        <w:rPr>
          <w:rFonts w:hint="eastAsia" w:ascii="仿宋_GB2312" w:hAnsi="仿宋_GB2312" w:eastAsia="方正小标宋简体" w:cs="Times New Roman"/>
          <w:color w:val="auto"/>
          <w:sz w:val="44"/>
          <w:szCs w:val="44"/>
          <w:u w:val="none"/>
          <w:lang w:eastAsia="zh-CN"/>
        </w:rPr>
        <w:t>关于做好</w:t>
      </w:r>
      <w:r>
        <w:rPr>
          <w:rFonts w:hint="eastAsia" w:ascii="仿宋_GB2312" w:hAnsi="仿宋_GB2312" w:eastAsia="方正小标宋简体" w:cs="Times New Roman"/>
          <w:color w:val="auto"/>
          <w:sz w:val="44"/>
          <w:szCs w:val="44"/>
          <w:u w:val="none"/>
        </w:rPr>
        <w:t>退役军人</w:t>
      </w:r>
      <w:r>
        <w:rPr>
          <w:rFonts w:hint="eastAsia" w:ascii="仿宋_GB2312" w:hAnsi="仿宋_GB2312" w:eastAsia="方正小标宋简体" w:cs="Times New Roman"/>
          <w:color w:val="auto"/>
          <w:sz w:val="44"/>
          <w:szCs w:val="44"/>
          <w:u w:val="none"/>
          <w:lang w:eastAsia="zh-CN"/>
        </w:rPr>
        <w:t>适应性培训</w:t>
      </w:r>
    </w:p>
    <w:p>
      <w:pPr>
        <w:keepNext w:val="0"/>
        <w:keepLines w:val="0"/>
        <w:pageBreakBefore w:val="0"/>
        <w:widowControl w:val="0"/>
        <w:kinsoku/>
        <w:wordWrap/>
        <w:overflowPunct w:val="0"/>
        <w:topLinePunct w:val="0"/>
        <w:autoSpaceDE/>
        <w:autoSpaceDN/>
        <w:bidi w:val="0"/>
        <w:adjustRightInd/>
        <w:snapToGrid/>
        <w:spacing w:line="600" w:lineRule="exact"/>
        <w:ind w:left="0" w:leftChars="0"/>
        <w:jc w:val="center"/>
        <w:textAlignment w:val="auto"/>
        <w:rPr>
          <w:rFonts w:hint="eastAsia" w:ascii="仿宋_GB2312" w:hAnsi="仿宋_GB2312" w:eastAsia="方正小标宋简体" w:cs="Times New Roman"/>
          <w:color w:val="auto"/>
          <w:sz w:val="44"/>
          <w:szCs w:val="44"/>
          <w:u w:val="none"/>
          <w:lang w:eastAsia="zh-CN"/>
        </w:rPr>
      </w:pPr>
      <w:r>
        <w:rPr>
          <w:rFonts w:hint="eastAsia" w:ascii="仿宋_GB2312" w:hAnsi="仿宋_GB2312" w:eastAsia="方正小标宋简体" w:cs="Times New Roman"/>
          <w:color w:val="auto"/>
          <w:sz w:val="44"/>
          <w:szCs w:val="44"/>
          <w:u w:val="none"/>
          <w:lang w:eastAsia="zh-CN"/>
        </w:rPr>
        <w:t>和</w:t>
      </w:r>
      <w:r>
        <w:rPr>
          <w:rFonts w:hint="eastAsia" w:ascii="仿宋_GB2312" w:hAnsi="仿宋_GB2312" w:eastAsia="方正小标宋简体" w:cs="Times New Roman"/>
          <w:color w:val="auto"/>
          <w:sz w:val="44"/>
          <w:szCs w:val="44"/>
          <w:u w:val="none"/>
        </w:rPr>
        <w:t>技能</w:t>
      </w:r>
      <w:r>
        <w:rPr>
          <w:rFonts w:hint="eastAsia" w:ascii="仿宋_GB2312" w:hAnsi="仿宋_GB2312" w:eastAsia="方正小标宋简体" w:cs="Times New Roman"/>
          <w:color w:val="auto"/>
          <w:sz w:val="44"/>
          <w:szCs w:val="44"/>
          <w:u w:val="none"/>
          <w:lang w:eastAsia="zh-CN"/>
        </w:rPr>
        <w:t>培训工作的通知</w:t>
      </w:r>
    </w:p>
    <w:p>
      <w:pPr>
        <w:pStyle w:val="6"/>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sz w:val="32"/>
          <w:szCs w:val="32"/>
          <w:lang w:val="en-US" w:eastAsia="zh-CN"/>
        </w:rPr>
      </w:pPr>
    </w:p>
    <w:p>
      <w:pPr>
        <w:pStyle w:val="4"/>
        <w:keepNext w:val="0"/>
        <w:keepLines w:val="0"/>
        <w:pageBreakBefore w:val="0"/>
        <w:widowControl w:val="0"/>
        <w:kinsoku/>
        <w:wordWrap/>
        <w:overflowPunct w:val="0"/>
        <w:topLinePunct w:val="0"/>
        <w:autoSpaceDE/>
        <w:autoSpaceDN/>
        <w:bidi w:val="0"/>
        <w:adjustRightInd/>
        <w:snapToGrid/>
        <w:spacing w:after="0" w:line="580" w:lineRule="exact"/>
        <w:ind w:left="0" w:leftChars="0" w:firstLine="0" w:firstLineChars="0"/>
        <w:jc w:val="both"/>
        <w:rPr>
          <w:rFonts w:hint="eastAsia" w:ascii="仿宋" w:hAnsi="仿宋" w:eastAsia="仿宋" w:cs="仿宋"/>
          <w:color w:val="auto"/>
          <w:sz w:val="32"/>
          <w:szCs w:val="32"/>
          <w:u w:val="none"/>
          <w:lang w:eastAsia="zh-CN"/>
        </w:rPr>
      </w:pPr>
      <w:r>
        <w:rPr>
          <w:rFonts w:hint="eastAsia" w:ascii="仿宋" w:hAnsi="仿宋" w:eastAsia="仿宋" w:cs="仿宋"/>
          <w:color w:val="auto"/>
          <w:sz w:val="32"/>
          <w:szCs w:val="32"/>
          <w:u w:val="none"/>
          <w:lang w:eastAsia="zh-CN"/>
        </w:rPr>
        <w:t>各</w:t>
      </w:r>
      <w:r>
        <w:rPr>
          <w:rFonts w:hint="eastAsia" w:ascii="仿宋" w:hAnsi="仿宋" w:eastAsia="仿宋" w:cs="仿宋"/>
          <w:color w:val="auto"/>
          <w:sz w:val="32"/>
          <w:szCs w:val="32"/>
          <w:u w:val="none"/>
          <w:lang w:val="en-US" w:eastAsia="zh-CN"/>
        </w:rPr>
        <w:t>县、区</w:t>
      </w:r>
      <w:r>
        <w:rPr>
          <w:rFonts w:hint="eastAsia" w:ascii="仿宋" w:hAnsi="仿宋" w:eastAsia="仿宋" w:cs="仿宋"/>
          <w:color w:val="auto"/>
          <w:sz w:val="32"/>
          <w:szCs w:val="32"/>
          <w:u w:val="none"/>
          <w:lang w:eastAsia="zh-CN"/>
        </w:rPr>
        <w:t>退役军人事务局：</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rPr>
          <w:rFonts w:hint="eastAsia" w:ascii="仿宋" w:hAnsi="仿宋" w:eastAsia="仿宋" w:cs="仿宋"/>
          <w:color w:val="auto"/>
          <w:kern w:val="0"/>
          <w:sz w:val="32"/>
          <w:szCs w:val="32"/>
          <w:u w:val="none"/>
          <w:lang w:val="en" w:eastAsia="zh-CN"/>
        </w:rPr>
      </w:pPr>
      <w:r>
        <w:rPr>
          <w:rFonts w:hint="eastAsia" w:ascii="仿宋" w:hAnsi="仿宋" w:eastAsia="仿宋" w:cs="仿宋"/>
          <w:color w:val="auto"/>
          <w:kern w:val="0"/>
          <w:sz w:val="32"/>
          <w:szCs w:val="32"/>
          <w:u w:val="none"/>
          <w:lang w:eastAsia="zh-CN"/>
        </w:rPr>
        <w:t>为贯彻落实《退役军人事务部等七部门关于全面做好退役士兵教育培训工作的指导意见》（退役军人部发〔2021〕53号）</w:t>
      </w:r>
      <w:r>
        <w:rPr>
          <w:rFonts w:hint="eastAsia" w:ascii="仿宋" w:hAnsi="仿宋" w:eastAsia="仿宋" w:cs="仿宋"/>
          <w:color w:val="auto"/>
          <w:kern w:val="0"/>
          <w:sz w:val="32"/>
          <w:szCs w:val="32"/>
          <w:u w:val="none"/>
          <w:lang w:val="en-US" w:eastAsia="zh-CN"/>
        </w:rPr>
        <w:t>和《关于做好退役军人适应性和技能培训工作的通知》（皖退役军人办</w:t>
      </w:r>
      <w:r>
        <w:rPr>
          <w:rFonts w:hint="eastAsia" w:ascii="仿宋" w:hAnsi="仿宋" w:eastAsia="仿宋" w:cs="仿宋"/>
          <w:sz w:val="32"/>
          <w:szCs w:val="32"/>
          <w:lang w:eastAsia="zh-CN"/>
        </w:rPr>
        <w:t>〔</w:t>
      </w:r>
      <w:r>
        <w:rPr>
          <w:rFonts w:hint="eastAsia" w:ascii="仿宋" w:hAnsi="仿宋" w:eastAsia="仿宋" w:cs="仿宋"/>
          <w:sz w:val="32"/>
          <w:szCs w:val="32"/>
          <w:lang w:val="en" w:eastAsia="zh-CN"/>
        </w:rPr>
        <w:t>2022</w:t>
      </w:r>
      <w:r>
        <w:rPr>
          <w:rFonts w:hint="eastAsia" w:ascii="仿宋" w:hAnsi="仿宋" w:eastAsia="仿宋" w:cs="仿宋"/>
          <w:sz w:val="32"/>
          <w:szCs w:val="32"/>
          <w:lang w:eastAsia="zh-CN"/>
        </w:rPr>
        <w:t>〕</w:t>
      </w:r>
      <w:r>
        <w:rPr>
          <w:rFonts w:hint="eastAsia" w:ascii="仿宋" w:hAnsi="仿宋" w:eastAsia="仿宋" w:cs="仿宋"/>
          <w:sz w:val="32"/>
          <w:szCs w:val="32"/>
          <w:lang w:val="en" w:eastAsia="zh-CN"/>
        </w:rPr>
        <w:t>4号</w:t>
      </w:r>
      <w:r>
        <w:rPr>
          <w:rFonts w:hint="eastAsia" w:ascii="仿宋" w:hAnsi="仿宋" w:eastAsia="仿宋" w:cs="仿宋"/>
          <w:color w:val="auto"/>
          <w:kern w:val="0"/>
          <w:sz w:val="32"/>
          <w:szCs w:val="32"/>
          <w:u w:val="none"/>
          <w:lang w:val="en-US" w:eastAsia="zh-CN"/>
        </w:rPr>
        <w:t>）</w:t>
      </w:r>
      <w:r>
        <w:rPr>
          <w:rFonts w:hint="eastAsia" w:ascii="仿宋" w:hAnsi="仿宋" w:eastAsia="仿宋" w:cs="仿宋"/>
          <w:color w:val="auto"/>
          <w:kern w:val="0"/>
          <w:sz w:val="32"/>
          <w:szCs w:val="32"/>
          <w:u w:val="none"/>
          <w:lang w:val="en" w:eastAsia="zh-CN"/>
        </w:rPr>
        <w:t>要求，切实做好我</w:t>
      </w:r>
      <w:r>
        <w:rPr>
          <w:rFonts w:hint="eastAsia" w:ascii="仿宋" w:hAnsi="仿宋" w:eastAsia="仿宋" w:cs="仿宋"/>
          <w:color w:val="auto"/>
          <w:kern w:val="0"/>
          <w:sz w:val="32"/>
          <w:szCs w:val="32"/>
          <w:u w:val="none"/>
          <w:lang w:val="en-US" w:eastAsia="zh-CN"/>
        </w:rPr>
        <w:t>市2022—2023</w:t>
      </w:r>
      <w:r>
        <w:rPr>
          <w:rFonts w:hint="eastAsia" w:ascii="仿宋" w:hAnsi="仿宋" w:eastAsia="仿宋" w:cs="仿宋"/>
          <w:color w:val="auto"/>
          <w:kern w:val="0"/>
          <w:sz w:val="32"/>
          <w:szCs w:val="32"/>
          <w:u w:val="none"/>
          <w:lang w:val="en" w:eastAsia="zh-CN"/>
        </w:rPr>
        <w:t>年度退役军人适应性培训和技能培训工作，现将有关事项通知如下：</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rPr>
          <w:rFonts w:hint="eastAsia" w:ascii="黑体" w:hAnsi="黑体" w:eastAsia="黑体" w:cs="黑体"/>
          <w:color w:val="auto"/>
          <w:kern w:val="0"/>
          <w:sz w:val="32"/>
          <w:szCs w:val="32"/>
          <w:u w:val="none"/>
        </w:rPr>
      </w:pPr>
      <w:r>
        <w:rPr>
          <w:rFonts w:hint="eastAsia" w:ascii="黑体" w:hAnsi="黑体" w:eastAsia="黑体" w:cs="黑体"/>
          <w:color w:val="auto"/>
          <w:kern w:val="0"/>
          <w:sz w:val="32"/>
          <w:szCs w:val="32"/>
          <w:u w:val="none"/>
          <w:lang w:eastAsia="zh-CN"/>
        </w:rPr>
        <w:t>一、</w:t>
      </w:r>
      <w:r>
        <w:rPr>
          <w:rFonts w:hint="eastAsia" w:ascii="黑体" w:hAnsi="黑体" w:eastAsia="黑体" w:cs="黑体"/>
          <w:color w:val="auto"/>
          <w:kern w:val="0"/>
          <w:sz w:val="32"/>
          <w:szCs w:val="32"/>
          <w:u w:val="none"/>
        </w:rPr>
        <w:t>培训对象</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rPr>
          <w:rFonts w:hint="eastAsia" w:ascii="仿宋" w:hAnsi="仿宋" w:eastAsia="仿宋" w:cs="仿宋"/>
          <w:color w:val="auto"/>
          <w:kern w:val="0"/>
          <w:sz w:val="32"/>
          <w:szCs w:val="32"/>
          <w:u w:val="none"/>
        </w:rPr>
      </w:pPr>
      <w:r>
        <w:rPr>
          <w:rFonts w:hint="eastAsia" w:ascii="仿宋" w:hAnsi="仿宋" w:eastAsia="仿宋" w:cs="仿宋"/>
          <w:color w:val="auto"/>
          <w:kern w:val="0"/>
          <w:sz w:val="32"/>
          <w:szCs w:val="32"/>
          <w:u w:val="none"/>
        </w:rPr>
        <w:t>我</w:t>
      </w:r>
      <w:r>
        <w:rPr>
          <w:rFonts w:hint="eastAsia" w:ascii="仿宋" w:hAnsi="仿宋" w:eastAsia="仿宋" w:cs="仿宋"/>
          <w:color w:val="auto"/>
          <w:kern w:val="0"/>
          <w:sz w:val="32"/>
          <w:szCs w:val="32"/>
          <w:u w:val="none"/>
          <w:lang w:val="en-US" w:eastAsia="zh-CN"/>
        </w:rPr>
        <w:t>市</w:t>
      </w:r>
      <w:r>
        <w:rPr>
          <w:rFonts w:hint="eastAsia" w:ascii="仿宋" w:hAnsi="仿宋" w:eastAsia="仿宋" w:cs="仿宋"/>
          <w:color w:val="auto"/>
          <w:kern w:val="0"/>
          <w:sz w:val="32"/>
          <w:szCs w:val="32"/>
          <w:u w:val="none"/>
        </w:rPr>
        <w:t>未参加过退役军人事务部门（或</w:t>
      </w:r>
      <w:r>
        <w:rPr>
          <w:rFonts w:hint="eastAsia" w:ascii="仿宋" w:hAnsi="仿宋" w:eastAsia="仿宋" w:cs="仿宋"/>
          <w:color w:val="auto"/>
          <w:kern w:val="0"/>
          <w:sz w:val="32"/>
          <w:szCs w:val="32"/>
          <w:u w:val="none"/>
          <w:lang w:eastAsia="zh-CN"/>
        </w:rPr>
        <w:t>民政部门</w:t>
      </w:r>
      <w:r>
        <w:rPr>
          <w:rFonts w:hint="eastAsia" w:ascii="仿宋" w:hAnsi="仿宋" w:eastAsia="仿宋" w:cs="仿宋"/>
          <w:color w:val="auto"/>
          <w:kern w:val="0"/>
          <w:sz w:val="32"/>
          <w:szCs w:val="32"/>
          <w:u w:val="none"/>
        </w:rPr>
        <w:t>）组织的技能培训</w:t>
      </w:r>
      <w:r>
        <w:rPr>
          <w:rFonts w:hint="eastAsia" w:ascii="仿宋" w:hAnsi="仿宋" w:eastAsia="仿宋" w:cs="仿宋"/>
          <w:color w:val="auto"/>
          <w:kern w:val="0"/>
          <w:sz w:val="32"/>
          <w:szCs w:val="32"/>
          <w:u w:val="none"/>
          <w:lang w:eastAsia="zh-CN"/>
        </w:rPr>
        <w:t>且未达到法定退休年龄符合条件</w:t>
      </w:r>
      <w:r>
        <w:rPr>
          <w:rFonts w:hint="eastAsia" w:ascii="仿宋" w:hAnsi="仿宋" w:eastAsia="仿宋" w:cs="仿宋"/>
          <w:color w:val="auto"/>
          <w:kern w:val="0"/>
          <w:sz w:val="32"/>
          <w:szCs w:val="32"/>
          <w:u w:val="none"/>
        </w:rPr>
        <w:t>的退役军人。</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val="en-US" w:eastAsia="zh-CN" w:bidi="ar-SA"/>
        </w:rPr>
        <w:t>二、目标任务</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color w:val="auto"/>
          <w:kern w:val="0"/>
          <w:sz w:val="32"/>
          <w:szCs w:val="32"/>
          <w:u w:val="none"/>
          <w:lang w:eastAsia="zh-CN"/>
        </w:rPr>
      </w:pPr>
      <w:r>
        <w:rPr>
          <w:rFonts w:hint="eastAsia" w:ascii="仿宋" w:hAnsi="仿宋" w:eastAsia="仿宋" w:cs="仿宋"/>
          <w:color w:val="auto"/>
          <w:kern w:val="0"/>
          <w:sz w:val="32"/>
          <w:szCs w:val="32"/>
          <w:u w:val="none"/>
        </w:rPr>
        <w:t>全</w:t>
      </w:r>
      <w:r>
        <w:rPr>
          <w:rFonts w:hint="eastAsia" w:ascii="仿宋" w:hAnsi="仿宋" w:eastAsia="仿宋" w:cs="仿宋"/>
          <w:color w:val="auto"/>
          <w:kern w:val="0"/>
          <w:sz w:val="32"/>
          <w:szCs w:val="32"/>
          <w:u w:val="none"/>
          <w:lang w:eastAsia="zh-CN"/>
        </w:rPr>
        <w:t>市</w:t>
      </w:r>
      <w:r>
        <w:rPr>
          <w:rFonts w:hint="eastAsia" w:ascii="仿宋" w:hAnsi="仿宋" w:eastAsia="仿宋" w:cs="仿宋"/>
          <w:color w:val="auto"/>
          <w:kern w:val="0"/>
          <w:sz w:val="32"/>
          <w:szCs w:val="32"/>
          <w:u w:val="none"/>
          <w:lang w:val="en-US" w:eastAsia="zh-CN"/>
        </w:rPr>
        <w:t>2022年</w:t>
      </w:r>
      <w:r>
        <w:rPr>
          <w:rFonts w:hint="eastAsia" w:ascii="仿宋" w:hAnsi="仿宋" w:eastAsia="仿宋" w:cs="仿宋"/>
          <w:color w:val="auto"/>
          <w:kern w:val="0"/>
          <w:sz w:val="32"/>
          <w:szCs w:val="32"/>
          <w:u w:val="none"/>
        </w:rPr>
        <w:t>组织退役军人技能培训1</w:t>
      </w:r>
      <w:r>
        <w:rPr>
          <w:rFonts w:hint="eastAsia" w:ascii="仿宋" w:hAnsi="仿宋" w:eastAsia="仿宋" w:cs="仿宋"/>
          <w:color w:val="auto"/>
          <w:kern w:val="0"/>
          <w:sz w:val="32"/>
          <w:szCs w:val="32"/>
          <w:u w:val="none"/>
          <w:lang w:val="en-US" w:eastAsia="zh-CN"/>
        </w:rPr>
        <w:t>390</w:t>
      </w:r>
      <w:r>
        <w:rPr>
          <w:rFonts w:hint="eastAsia" w:ascii="仿宋" w:hAnsi="仿宋" w:eastAsia="仿宋" w:cs="仿宋"/>
          <w:color w:val="auto"/>
          <w:kern w:val="0"/>
          <w:sz w:val="32"/>
          <w:szCs w:val="32"/>
          <w:u w:val="none"/>
        </w:rPr>
        <w:t>人</w:t>
      </w:r>
      <w:r>
        <w:rPr>
          <w:rFonts w:hint="eastAsia" w:ascii="仿宋" w:hAnsi="仿宋" w:eastAsia="仿宋" w:cs="仿宋"/>
          <w:color w:val="auto"/>
          <w:kern w:val="0"/>
          <w:sz w:val="32"/>
          <w:szCs w:val="32"/>
          <w:lang w:val="en-US" w:eastAsia="zh-CN"/>
        </w:rPr>
        <w:t>（详见附件1）</w:t>
      </w:r>
      <w:r>
        <w:rPr>
          <w:rFonts w:hint="eastAsia" w:ascii="仿宋" w:hAnsi="仿宋" w:eastAsia="仿宋" w:cs="仿宋"/>
          <w:color w:val="auto"/>
          <w:kern w:val="0"/>
          <w:sz w:val="32"/>
          <w:szCs w:val="32"/>
          <w:u w:val="none"/>
        </w:rPr>
        <w:t>，培训合格率达到90%以上</w:t>
      </w:r>
      <w:r>
        <w:rPr>
          <w:rFonts w:hint="eastAsia" w:ascii="仿宋" w:hAnsi="仿宋" w:eastAsia="仿宋" w:cs="仿宋"/>
          <w:color w:val="auto"/>
          <w:kern w:val="0"/>
          <w:sz w:val="32"/>
          <w:szCs w:val="32"/>
          <w:u w:val="none"/>
          <w:lang w:eastAsia="zh-CN"/>
        </w:rPr>
        <w:t>，职业</w:t>
      </w:r>
      <w:r>
        <w:rPr>
          <w:rFonts w:hint="eastAsia" w:ascii="仿宋" w:hAnsi="仿宋" w:eastAsia="仿宋" w:cs="仿宋"/>
          <w:color w:val="auto"/>
          <w:kern w:val="0"/>
          <w:sz w:val="32"/>
          <w:szCs w:val="32"/>
          <w:lang w:eastAsia="zh-CN"/>
        </w:rPr>
        <w:t>技能资格证书获取率不低于</w:t>
      </w:r>
      <w:r>
        <w:rPr>
          <w:rFonts w:hint="eastAsia" w:ascii="仿宋" w:hAnsi="仿宋" w:eastAsia="仿宋" w:cs="仿宋"/>
          <w:color w:val="auto"/>
          <w:kern w:val="0"/>
          <w:sz w:val="32"/>
          <w:szCs w:val="32"/>
          <w:lang w:val="en-US" w:eastAsia="zh-CN"/>
        </w:rPr>
        <w:t>70%。</w:t>
      </w:r>
    </w:p>
    <w:p>
      <w:pPr>
        <w:pStyle w:val="2"/>
        <w:keepNext w:val="0"/>
        <w:keepLines w:val="0"/>
        <w:pageBreakBefore w:val="0"/>
        <w:widowControl w:val="0"/>
        <w:numPr>
          <w:ilvl w:val="0"/>
          <w:numId w:val="0"/>
        </w:numPr>
        <w:kinsoku/>
        <w:wordWrap/>
        <w:overflowPunct w:val="0"/>
        <w:topLinePunct w:val="0"/>
        <w:autoSpaceDE/>
        <w:autoSpaceDN/>
        <w:bidi w:val="0"/>
        <w:adjustRightInd/>
        <w:snapToGrid/>
        <w:spacing w:line="580" w:lineRule="exact"/>
        <w:ind w:firstLine="640" w:firstLineChars="200"/>
        <w:jc w:val="both"/>
        <w:rPr>
          <w:rFonts w:hint="eastAsia" w:ascii="仿宋" w:hAnsi="仿宋" w:eastAsia="仿宋" w:cs="仿宋"/>
          <w:sz w:val="32"/>
          <w:szCs w:val="32"/>
          <w:lang w:val="en-US" w:eastAsia="zh-CN"/>
        </w:rPr>
      </w:pPr>
      <w:r>
        <w:rPr>
          <w:rFonts w:hint="eastAsia" w:ascii="黑体" w:hAnsi="黑体" w:eastAsia="黑体" w:cs="黑体"/>
          <w:sz w:val="32"/>
          <w:szCs w:val="32"/>
          <w:lang w:val="en-US" w:eastAsia="zh-CN"/>
        </w:rPr>
        <w:t xml:space="preserve">三、培训项目  </w:t>
      </w:r>
      <w:r>
        <w:rPr>
          <w:rFonts w:hint="eastAsia" w:ascii="仿宋" w:hAnsi="仿宋" w:eastAsia="仿宋" w:cs="仿宋"/>
          <w:sz w:val="32"/>
          <w:szCs w:val="32"/>
          <w:lang w:val="en-US" w:eastAsia="zh-CN"/>
        </w:rPr>
        <w:t xml:space="preserve">   </w:t>
      </w:r>
    </w:p>
    <w:p>
      <w:pPr>
        <w:pStyle w:val="8"/>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80" w:lineRule="exact"/>
        <w:ind w:right="0" w:firstLine="640" w:firstLineChars="200"/>
        <w:jc w:val="both"/>
        <w:textAlignment w:val="baseline"/>
        <w:rPr>
          <w:rFonts w:hint="eastAsia" w:ascii="仿宋" w:hAnsi="仿宋" w:eastAsia="仿宋" w:cs="仿宋"/>
          <w:color w:val="auto"/>
          <w:sz w:val="32"/>
          <w:szCs w:val="32"/>
          <w:u w:val="none"/>
          <w:vertAlign w:val="baseline"/>
          <w:lang w:val="en-US" w:eastAsia="zh-CN"/>
        </w:rPr>
      </w:pPr>
      <w:r>
        <w:rPr>
          <w:rFonts w:hint="eastAsia" w:ascii="楷体" w:hAnsi="楷体" w:eastAsia="楷体" w:cs="楷体"/>
          <w:b w:val="0"/>
          <w:bCs w:val="0"/>
          <w:color w:val="auto"/>
          <w:kern w:val="0"/>
          <w:sz w:val="32"/>
          <w:szCs w:val="32"/>
          <w:u w:val="none"/>
        </w:rPr>
        <w:t>（一）</w:t>
      </w:r>
      <w:r>
        <w:rPr>
          <w:rFonts w:hint="eastAsia" w:ascii="楷体" w:hAnsi="楷体" w:eastAsia="楷体" w:cs="楷体"/>
          <w:b w:val="0"/>
          <w:bCs w:val="0"/>
          <w:color w:val="auto"/>
          <w:kern w:val="0"/>
          <w:sz w:val="32"/>
          <w:szCs w:val="32"/>
          <w:u w:val="none"/>
          <w:lang w:eastAsia="zh-CN"/>
        </w:rPr>
        <w:t>适应性培训</w:t>
      </w:r>
      <w:r>
        <w:rPr>
          <w:rFonts w:hint="eastAsia" w:ascii="楷体" w:hAnsi="楷体" w:eastAsia="楷体" w:cs="楷体"/>
          <w:b w:val="0"/>
          <w:bCs w:val="0"/>
          <w:color w:val="auto"/>
          <w:sz w:val="32"/>
          <w:szCs w:val="32"/>
          <w:u w:val="none"/>
          <w:vertAlign w:val="baseline"/>
        </w:rPr>
        <w:t>。</w:t>
      </w:r>
      <w:r>
        <w:rPr>
          <w:rFonts w:hint="eastAsia" w:ascii="仿宋" w:hAnsi="仿宋" w:eastAsia="仿宋" w:cs="仿宋"/>
          <w:color w:val="auto"/>
          <w:sz w:val="32"/>
          <w:szCs w:val="32"/>
          <w:u w:val="none"/>
          <w:vertAlign w:val="baseline"/>
        </w:rPr>
        <w:t>坚持即退即训、全员参加，面向当年度退役的自主就业退役士兵开展</w:t>
      </w:r>
      <w:r>
        <w:rPr>
          <w:rFonts w:hint="eastAsia" w:ascii="仿宋" w:hAnsi="仿宋" w:eastAsia="仿宋" w:cs="仿宋"/>
          <w:color w:val="auto"/>
          <w:sz w:val="32"/>
          <w:szCs w:val="32"/>
          <w:u w:val="none"/>
          <w:vertAlign w:val="baseline"/>
          <w:lang w:val="en"/>
        </w:rPr>
        <w:t>,</w:t>
      </w:r>
      <w:r>
        <w:rPr>
          <w:rFonts w:hint="eastAsia" w:ascii="仿宋" w:hAnsi="仿宋" w:eastAsia="仿宋" w:cs="仿宋"/>
          <w:color w:val="auto"/>
          <w:sz w:val="32"/>
          <w:szCs w:val="32"/>
          <w:u w:val="none"/>
          <w:vertAlign w:val="baseline"/>
        </w:rPr>
        <w:t>原则上在退役士兵返乡报到后由当地退役军人事务部门</w:t>
      </w:r>
      <w:r>
        <w:rPr>
          <w:rFonts w:hint="eastAsia" w:ascii="仿宋" w:hAnsi="仿宋" w:eastAsia="仿宋" w:cs="仿宋"/>
          <w:color w:val="auto"/>
          <w:sz w:val="32"/>
          <w:szCs w:val="32"/>
          <w:u w:val="none"/>
          <w:vertAlign w:val="baseline"/>
          <w:lang w:eastAsia="zh-CN"/>
        </w:rPr>
        <w:t>在</w:t>
      </w:r>
      <w:r>
        <w:rPr>
          <w:rFonts w:hint="eastAsia" w:ascii="仿宋" w:hAnsi="仿宋" w:eastAsia="仿宋" w:cs="仿宋"/>
          <w:color w:val="auto"/>
          <w:sz w:val="32"/>
          <w:szCs w:val="32"/>
          <w:u w:val="none"/>
          <w:vertAlign w:val="baseline"/>
        </w:rPr>
        <w:t>2个月内完成。结合“互联网+培训”，通过线上线下相结合的方式开展，培训时长不少于80课时</w:t>
      </w:r>
      <w:r>
        <w:rPr>
          <w:rFonts w:hint="eastAsia" w:ascii="仿宋" w:hAnsi="仿宋" w:eastAsia="仿宋" w:cs="仿宋"/>
          <w:color w:val="auto"/>
          <w:sz w:val="32"/>
          <w:szCs w:val="32"/>
          <w:u w:val="none"/>
          <w:vertAlign w:val="baseline"/>
          <w:lang w:eastAsia="zh-CN"/>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sz w:val="32"/>
          <w:szCs w:val="32"/>
          <w:lang w:eastAsia="zh-CN"/>
        </w:rPr>
      </w:pPr>
      <w:r>
        <w:rPr>
          <w:rFonts w:hint="eastAsia" w:ascii="楷体" w:hAnsi="楷体" w:eastAsia="楷体" w:cs="楷体"/>
          <w:b w:val="0"/>
          <w:bCs w:val="0"/>
          <w:color w:val="auto"/>
          <w:kern w:val="0"/>
          <w:sz w:val="32"/>
          <w:szCs w:val="32"/>
          <w:u w:val="none"/>
          <w:lang w:eastAsia="zh-CN"/>
        </w:rPr>
        <w:t>（二）</w:t>
      </w:r>
      <w:r>
        <w:rPr>
          <w:rStyle w:val="11"/>
          <w:rFonts w:hint="eastAsia" w:ascii="楷体" w:hAnsi="楷体" w:eastAsia="楷体" w:cs="楷体"/>
          <w:b w:val="0"/>
          <w:bCs w:val="0"/>
          <w:color w:val="auto"/>
          <w:sz w:val="32"/>
          <w:szCs w:val="32"/>
          <w:u w:val="none"/>
          <w:vertAlign w:val="baseline"/>
        </w:rPr>
        <w:t>职业技能培训</w:t>
      </w:r>
      <w:r>
        <w:rPr>
          <w:rStyle w:val="11"/>
          <w:rFonts w:hint="eastAsia" w:ascii="楷体" w:hAnsi="楷体" w:eastAsia="楷体" w:cs="楷体"/>
          <w:b w:val="0"/>
          <w:bCs w:val="0"/>
          <w:color w:val="auto"/>
          <w:sz w:val="32"/>
          <w:szCs w:val="32"/>
          <w:u w:val="none"/>
          <w:vertAlign w:val="baseline"/>
          <w:lang w:eastAsia="zh-CN"/>
        </w:rPr>
        <w:t>。</w:t>
      </w:r>
      <w:r>
        <w:rPr>
          <w:rFonts w:hint="eastAsia" w:ascii="仿宋" w:hAnsi="仿宋" w:eastAsia="仿宋" w:cs="仿宋"/>
          <w:sz w:val="32"/>
          <w:szCs w:val="32"/>
          <w:lang w:val="en-US" w:eastAsia="zh-CN"/>
        </w:rPr>
        <w:t>技能培训由各县（区）退役军人事务部门制定培训方案、组织实施、全程监管。</w:t>
      </w:r>
      <w:r>
        <w:rPr>
          <w:rFonts w:hint="eastAsia" w:ascii="仿宋" w:hAnsi="仿宋" w:eastAsia="仿宋" w:cs="仿宋"/>
          <w:sz w:val="32"/>
          <w:szCs w:val="32"/>
          <w:lang w:eastAsia="zh-CN"/>
        </w:rPr>
        <w:t>培训时长结合项目实际，按要求科学设定。</w:t>
      </w:r>
      <w:r>
        <w:rPr>
          <w:rFonts w:hint="eastAsia" w:ascii="仿宋" w:hAnsi="仿宋" w:eastAsia="仿宋" w:cs="仿宋"/>
          <w:sz w:val="32"/>
          <w:szCs w:val="32"/>
          <w:lang w:val="en-US" w:eastAsia="zh-CN"/>
        </w:rPr>
        <w:t>退役军人自愿报名</w:t>
      </w:r>
      <w:r>
        <w:rPr>
          <w:rFonts w:hint="eastAsia" w:ascii="仿宋" w:hAnsi="仿宋" w:eastAsia="仿宋" w:cs="仿宋"/>
          <w:sz w:val="32"/>
          <w:szCs w:val="32"/>
          <w:lang w:eastAsia="zh-CN"/>
        </w:rPr>
        <w:t>，自选专业，免费培训。</w:t>
      </w:r>
      <w:r>
        <w:rPr>
          <w:rFonts w:hint="eastAsia" w:ascii="仿宋" w:hAnsi="仿宋" w:eastAsia="仿宋" w:cs="仿宋"/>
          <w:sz w:val="32"/>
          <w:szCs w:val="32"/>
          <w:lang w:val="en-US" w:eastAsia="zh-CN"/>
        </w:rPr>
        <w:t>各地要认真收集退役军人异地培训需求，积极开展异地培训工作。</w:t>
      </w:r>
      <w:r>
        <w:rPr>
          <w:rFonts w:hint="eastAsia" w:ascii="仿宋" w:hAnsi="仿宋" w:eastAsia="仿宋" w:cs="仿宋"/>
          <w:color w:val="auto"/>
          <w:sz w:val="32"/>
          <w:szCs w:val="32"/>
          <w:lang w:val="en-US" w:eastAsia="zh-CN"/>
        </w:rPr>
        <w:t>参加异地培训所需经费由报到地退役军人事务部门保障。</w:t>
      </w:r>
      <w:r>
        <w:rPr>
          <w:rFonts w:hint="eastAsia" w:ascii="仿宋" w:hAnsi="仿宋" w:eastAsia="仿宋" w:cs="仿宋"/>
          <w:sz w:val="32"/>
          <w:szCs w:val="32"/>
          <w:lang w:eastAsia="zh-CN"/>
        </w:rPr>
        <w:t>培训应在一年内完成。</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黑体" w:hAnsi="黑体" w:eastAsia="黑体" w:cs="黑体"/>
          <w:color w:val="auto"/>
          <w:kern w:val="0"/>
          <w:sz w:val="32"/>
          <w:szCs w:val="32"/>
          <w:u w:val="none"/>
          <w:lang w:eastAsia="zh-CN"/>
        </w:rPr>
      </w:pPr>
      <w:r>
        <w:rPr>
          <w:rFonts w:hint="eastAsia" w:ascii="黑体" w:hAnsi="黑体" w:eastAsia="黑体" w:cs="黑体"/>
          <w:color w:val="auto"/>
          <w:kern w:val="0"/>
          <w:sz w:val="32"/>
          <w:szCs w:val="32"/>
          <w:u w:val="none"/>
          <w:lang w:eastAsia="zh-CN"/>
        </w:rPr>
        <w:t>四</w:t>
      </w:r>
      <w:r>
        <w:rPr>
          <w:rFonts w:hint="eastAsia" w:ascii="黑体" w:hAnsi="黑体" w:eastAsia="黑体" w:cs="黑体"/>
          <w:color w:val="auto"/>
          <w:kern w:val="0"/>
          <w:sz w:val="32"/>
          <w:szCs w:val="32"/>
          <w:u w:val="none"/>
        </w:rPr>
        <w:t>、实施</w:t>
      </w:r>
      <w:r>
        <w:rPr>
          <w:rFonts w:hint="eastAsia" w:ascii="黑体" w:hAnsi="黑体" w:eastAsia="黑体" w:cs="黑体"/>
          <w:color w:val="auto"/>
          <w:kern w:val="0"/>
          <w:sz w:val="32"/>
          <w:szCs w:val="32"/>
          <w:u w:val="none"/>
          <w:lang w:eastAsia="zh-CN"/>
        </w:rPr>
        <w:t>步骤</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color w:val="auto"/>
          <w:kern w:val="0"/>
          <w:sz w:val="32"/>
          <w:szCs w:val="32"/>
          <w:u w:val="none"/>
          <w:lang w:eastAsia="zh-CN"/>
        </w:rPr>
      </w:pPr>
      <w:r>
        <w:rPr>
          <w:rFonts w:hint="eastAsia" w:ascii="楷体" w:hAnsi="楷体" w:eastAsia="楷体" w:cs="楷体"/>
          <w:b w:val="0"/>
          <w:bCs w:val="0"/>
          <w:color w:val="auto"/>
          <w:kern w:val="0"/>
          <w:sz w:val="32"/>
          <w:szCs w:val="32"/>
          <w:u w:val="none"/>
          <w:lang w:val="en-US" w:eastAsia="zh-CN" w:bidi="ar-SA"/>
        </w:rPr>
        <w:t>（一）合理设置专业。</w:t>
      </w:r>
      <w:r>
        <w:rPr>
          <w:rFonts w:hint="eastAsia" w:ascii="仿宋" w:hAnsi="仿宋" w:eastAsia="仿宋" w:cs="仿宋"/>
          <w:color w:val="auto"/>
          <w:kern w:val="0"/>
          <w:sz w:val="32"/>
          <w:szCs w:val="32"/>
          <w:u w:val="none"/>
        </w:rPr>
        <w:t>确定培训专业要统筹考虑退役军人培训需求、用人单位岗位、经济社会发展规划和承训机构优势，对退役军人培训意愿比较集中、用人单位岗位充足、缺口较大的专业，作为</w:t>
      </w:r>
      <w:r>
        <w:rPr>
          <w:rFonts w:hint="eastAsia" w:ascii="仿宋" w:hAnsi="仿宋" w:eastAsia="仿宋" w:cs="仿宋"/>
          <w:color w:val="auto"/>
          <w:kern w:val="0"/>
          <w:sz w:val="32"/>
          <w:szCs w:val="32"/>
          <w:u w:val="none"/>
          <w:lang w:eastAsia="zh-CN"/>
        </w:rPr>
        <w:t>培训</w:t>
      </w:r>
      <w:r>
        <w:rPr>
          <w:rFonts w:hint="eastAsia" w:ascii="仿宋" w:hAnsi="仿宋" w:eastAsia="仿宋" w:cs="仿宋"/>
          <w:color w:val="auto"/>
          <w:kern w:val="0"/>
          <w:sz w:val="32"/>
          <w:szCs w:val="32"/>
          <w:u w:val="none"/>
        </w:rPr>
        <w:t>重点；对新兴职业、适合本地特色的专业、传统优势产业急需的专业，要积极开班；对受产业政策限制的专业，一般不组织培训。</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color w:val="auto"/>
          <w:kern w:val="0"/>
          <w:sz w:val="32"/>
          <w:szCs w:val="32"/>
          <w:u w:val="none"/>
          <w:lang w:eastAsia="zh-CN"/>
        </w:rPr>
      </w:pPr>
      <w:r>
        <w:rPr>
          <w:rFonts w:hint="eastAsia" w:ascii="楷体" w:hAnsi="楷体" w:eastAsia="楷体" w:cs="楷体"/>
          <w:b w:val="0"/>
          <w:bCs w:val="0"/>
          <w:color w:val="auto"/>
          <w:kern w:val="0"/>
          <w:sz w:val="32"/>
          <w:szCs w:val="32"/>
          <w:u w:val="none"/>
          <w:lang w:val="en-US" w:eastAsia="zh-CN" w:bidi="ar-SA"/>
        </w:rPr>
        <w:t>（二）确定承训机构。</w:t>
      </w:r>
      <w:r>
        <w:rPr>
          <w:rFonts w:hint="eastAsia" w:ascii="仿宋" w:hAnsi="仿宋" w:eastAsia="仿宋" w:cs="仿宋"/>
          <w:color w:val="auto"/>
          <w:kern w:val="0"/>
          <w:sz w:val="32"/>
          <w:szCs w:val="32"/>
          <w:u w:val="none"/>
          <w:lang w:eastAsia="zh-CN"/>
        </w:rPr>
        <w:t>承</w:t>
      </w:r>
      <w:r>
        <w:rPr>
          <w:rFonts w:hint="eastAsia" w:ascii="仿宋" w:hAnsi="仿宋" w:eastAsia="仿宋" w:cs="仿宋"/>
          <w:color w:val="auto"/>
          <w:kern w:val="0"/>
          <w:sz w:val="32"/>
          <w:szCs w:val="32"/>
          <w:u w:val="none"/>
        </w:rPr>
        <w:t>训机构</w:t>
      </w:r>
      <w:r>
        <w:rPr>
          <w:rFonts w:hint="eastAsia" w:ascii="仿宋" w:hAnsi="仿宋" w:eastAsia="仿宋" w:cs="仿宋"/>
          <w:color w:val="auto"/>
          <w:kern w:val="0"/>
          <w:sz w:val="32"/>
          <w:szCs w:val="32"/>
          <w:u w:val="none"/>
          <w:lang w:eastAsia="zh-CN"/>
        </w:rPr>
        <w:t>在各级</w:t>
      </w:r>
      <w:r>
        <w:rPr>
          <w:rFonts w:hint="eastAsia" w:ascii="仿宋" w:hAnsi="仿宋" w:eastAsia="仿宋" w:cs="仿宋"/>
          <w:color w:val="auto"/>
          <w:spacing w:val="0"/>
          <w:sz w:val="32"/>
          <w:szCs w:val="32"/>
          <w:u w:val="none"/>
          <w:lang w:val="en-US" w:eastAsia="zh-CN" w:bidi="zh-CN"/>
        </w:rPr>
        <w:t>退役军人事务部门公布的退役军人培训机构中遴选，签订培训合同。当地政府有特别规定的，应事先向市局报备。</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color w:val="auto"/>
          <w:kern w:val="0"/>
          <w:sz w:val="32"/>
          <w:szCs w:val="32"/>
          <w:u w:val="none"/>
          <w:lang w:eastAsia="zh-CN"/>
        </w:rPr>
      </w:pPr>
      <w:r>
        <w:rPr>
          <w:rFonts w:hint="eastAsia" w:ascii="楷体" w:hAnsi="楷体" w:eastAsia="楷体" w:cs="楷体"/>
          <w:b w:val="0"/>
          <w:bCs w:val="0"/>
          <w:color w:val="auto"/>
          <w:kern w:val="0"/>
          <w:sz w:val="32"/>
          <w:szCs w:val="32"/>
          <w:u w:val="none"/>
          <w:lang w:val="en-US" w:eastAsia="zh-CN" w:bidi="ar-SA"/>
        </w:rPr>
        <w:t>（三）严格培训管理。</w:t>
      </w:r>
      <w:r>
        <w:rPr>
          <w:rFonts w:hint="eastAsia" w:ascii="仿宋" w:hAnsi="仿宋" w:eastAsia="仿宋" w:cs="仿宋"/>
          <w:color w:val="auto"/>
          <w:kern w:val="0"/>
          <w:sz w:val="32"/>
          <w:szCs w:val="32"/>
          <w:u w:val="none"/>
        </w:rPr>
        <w:t>指导承训机构结合退役军人特点，建立健全</w:t>
      </w:r>
      <w:r>
        <w:rPr>
          <w:rFonts w:hint="eastAsia" w:ascii="仿宋" w:hAnsi="仿宋" w:eastAsia="仿宋" w:cs="仿宋"/>
          <w:color w:val="auto"/>
          <w:kern w:val="0"/>
          <w:sz w:val="32"/>
          <w:szCs w:val="32"/>
          <w:u w:val="none"/>
          <w:lang w:eastAsia="zh-CN"/>
        </w:rPr>
        <w:t>各项</w:t>
      </w:r>
      <w:r>
        <w:rPr>
          <w:rFonts w:hint="eastAsia" w:ascii="仿宋" w:hAnsi="仿宋" w:eastAsia="仿宋" w:cs="仿宋"/>
          <w:color w:val="auto"/>
          <w:kern w:val="0"/>
          <w:sz w:val="32"/>
          <w:szCs w:val="32"/>
          <w:u w:val="none"/>
        </w:rPr>
        <w:t>制度</w:t>
      </w:r>
      <w:r>
        <w:rPr>
          <w:rFonts w:hint="eastAsia" w:ascii="仿宋" w:hAnsi="仿宋" w:eastAsia="仿宋" w:cs="仿宋"/>
          <w:color w:val="auto"/>
          <w:kern w:val="0"/>
          <w:sz w:val="32"/>
          <w:szCs w:val="32"/>
          <w:u w:val="none"/>
          <w:lang w:eastAsia="zh-CN"/>
        </w:rPr>
        <w:t>，并严格管理，保证</w:t>
      </w:r>
      <w:r>
        <w:rPr>
          <w:rFonts w:hint="eastAsia" w:ascii="仿宋" w:hAnsi="仿宋" w:eastAsia="仿宋" w:cs="仿宋"/>
          <w:color w:val="auto"/>
          <w:kern w:val="0"/>
          <w:sz w:val="32"/>
          <w:szCs w:val="32"/>
          <w:u w:val="none"/>
        </w:rPr>
        <w:t>到课率</w:t>
      </w:r>
      <w:r>
        <w:rPr>
          <w:rFonts w:hint="eastAsia" w:ascii="仿宋" w:hAnsi="仿宋" w:eastAsia="仿宋" w:cs="仿宋"/>
          <w:color w:val="auto"/>
          <w:kern w:val="0"/>
          <w:sz w:val="32"/>
          <w:szCs w:val="32"/>
          <w:u w:val="none"/>
          <w:lang w:eastAsia="zh-CN"/>
        </w:rPr>
        <w:t>，确保培训实效。</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color w:val="auto"/>
          <w:kern w:val="0"/>
          <w:sz w:val="32"/>
          <w:szCs w:val="32"/>
          <w:u w:val="none"/>
          <w:lang w:eastAsia="zh-CN"/>
        </w:rPr>
        <w:t>五</w:t>
      </w:r>
      <w:r>
        <w:rPr>
          <w:rFonts w:hint="eastAsia" w:ascii="黑体" w:hAnsi="黑体" w:eastAsia="黑体" w:cs="黑体"/>
          <w:color w:val="auto"/>
          <w:kern w:val="0"/>
          <w:sz w:val="32"/>
          <w:szCs w:val="32"/>
          <w:u w:val="none"/>
        </w:rPr>
        <w:t>、</w:t>
      </w:r>
      <w:r>
        <w:rPr>
          <w:rFonts w:hint="eastAsia" w:ascii="黑体" w:hAnsi="黑体" w:eastAsia="黑体" w:cs="黑体"/>
          <w:color w:val="auto"/>
          <w:kern w:val="0"/>
          <w:sz w:val="32"/>
          <w:szCs w:val="32"/>
          <w:u w:val="none"/>
          <w:lang w:eastAsia="zh-CN"/>
        </w:rPr>
        <w:t>工作要求</w:t>
      </w:r>
    </w:p>
    <w:p>
      <w:pPr>
        <w:pStyle w:val="2"/>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b w:val="0"/>
          <w:bCs w:val="0"/>
          <w:color w:val="auto"/>
          <w:sz w:val="32"/>
          <w:szCs w:val="32"/>
          <w:lang w:eastAsia="zh-CN"/>
        </w:rPr>
      </w:pPr>
      <w:r>
        <w:rPr>
          <w:rFonts w:hint="eastAsia" w:ascii="楷体" w:hAnsi="楷体" w:eastAsia="楷体" w:cs="楷体"/>
          <w:b w:val="0"/>
          <w:bCs w:val="0"/>
          <w:color w:val="auto"/>
          <w:kern w:val="0"/>
          <w:sz w:val="32"/>
          <w:szCs w:val="32"/>
          <w:u w:val="none"/>
          <w:lang w:val="en-US" w:eastAsia="zh-CN"/>
        </w:rPr>
        <w:t>（一）落实“三级培训”机制。</w:t>
      </w:r>
      <w:r>
        <w:rPr>
          <w:rFonts w:hint="eastAsia" w:ascii="仿宋" w:hAnsi="仿宋" w:eastAsia="仿宋" w:cs="仿宋"/>
          <w:b w:val="0"/>
          <w:bCs w:val="0"/>
          <w:color w:val="auto"/>
          <w:sz w:val="32"/>
          <w:szCs w:val="32"/>
          <w:lang w:eastAsia="zh-CN"/>
        </w:rPr>
        <w:t>省厅负责制定全省技能培训工作方案，确定培训目标任务，加强对市、县（市、区）培训工作的指导，协调稀缺性、高端性、科技含量高的专业培训。市、县（区）负责具体培训的管理工作，充分利用当地优势培训资源，确定市级培训专业和班次，并承担各县报名人数少、技术层次高的专业及新兴职业的培训，同时监督管理县（区）做好培训。各县（区）承担除省、市培训以外的具有地域特色，实用性、大众化的其他有培训意愿者的培训。</w:t>
      </w:r>
    </w:p>
    <w:p>
      <w:pPr>
        <w:pStyle w:val="2"/>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b w:val="0"/>
          <w:bCs w:val="0"/>
          <w:color w:val="auto"/>
          <w:sz w:val="32"/>
          <w:szCs w:val="32"/>
          <w:lang w:eastAsia="zh-CN"/>
        </w:rPr>
      </w:pPr>
      <w:r>
        <w:rPr>
          <w:rFonts w:hint="eastAsia" w:ascii="楷体" w:hAnsi="楷体" w:eastAsia="楷体" w:cs="楷体"/>
          <w:b w:val="0"/>
          <w:bCs w:val="0"/>
          <w:color w:val="auto"/>
          <w:kern w:val="0"/>
          <w:sz w:val="32"/>
          <w:szCs w:val="32"/>
          <w:u w:val="none"/>
          <w:lang w:val="en-US" w:eastAsia="zh-CN"/>
        </w:rPr>
        <w:t>（二）做好宣传工作。</w:t>
      </w:r>
      <w:r>
        <w:rPr>
          <w:rFonts w:hint="eastAsia" w:ascii="仿宋" w:hAnsi="仿宋" w:eastAsia="仿宋" w:cs="仿宋"/>
          <w:b w:val="0"/>
          <w:bCs w:val="0"/>
          <w:color w:val="auto"/>
          <w:sz w:val="32"/>
          <w:szCs w:val="32"/>
          <w:lang w:eastAsia="zh-CN"/>
        </w:rPr>
        <w:t>充分发挥县乡村“两站一中心”和视频信息一体化平台作用，将退役军人技能培训</w:t>
      </w:r>
      <w:r>
        <w:rPr>
          <w:rFonts w:hint="eastAsia" w:ascii="仿宋" w:hAnsi="仿宋" w:eastAsia="仿宋" w:cs="仿宋"/>
          <w:b w:val="0"/>
          <w:bCs w:val="0"/>
          <w:color w:val="auto"/>
          <w:kern w:val="0"/>
          <w:sz w:val="32"/>
          <w:szCs w:val="32"/>
          <w:u w:val="none"/>
          <w:lang w:eastAsia="zh-CN"/>
        </w:rPr>
        <w:t>相关</w:t>
      </w:r>
      <w:r>
        <w:rPr>
          <w:rFonts w:hint="eastAsia" w:ascii="仿宋" w:hAnsi="仿宋" w:eastAsia="仿宋" w:cs="仿宋"/>
          <w:b w:val="0"/>
          <w:bCs w:val="0"/>
          <w:color w:val="auto"/>
          <w:sz w:val="32"/>
          <w:szCs w:val="32"/>
          <w:lang w:eastAsia="zh-CN"/>
        </w:rPr>
        <w:t>政策及承训机构、专业、班次“一对一”宣传到每一个符合条件的退役军人，激发退役军人参训热情，提高参训率。</w:t>
      </w:r>
    </w:p>
    <w:p>
      <w:pPr>
        <w:keepNext w:val="0"/>
        <w:keepLines w:val="0"/>
        <w:pageBreakBefore w:val="0"/>
        <w:widowControl w:val="0"/>
        <w:numPr>
          <w:ilvl w:val="0"/>
          <w:numId w:val="0"/>
        </w:numPr>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color w:val="auto"/>
          <w:kern w:val="0"/>
          <w:sz w:val="32"/>
          <w:szCs w:val="32"/>
          <w:u w:val="none"/>
          <w:lang w:val="en-US" w:eastAsia="zh-CN"/>
        </w:rPr>
      </w:pPr>
      <w:r>
        <w:rPr>
          <w:rFonts w:hint="eastAsia" w:ascii="楷体" w:hAnsi="楷体" w:eastAsia="楷体" w:cs="楷体"/>
          <w:b w:val="0"/>
          <w:bCs w:val="0"/>
          <w:color w:val="auto"/>
          <w:kern w:val="0"/>
          <w:sz w:val="32"/>
          <w:szCs w:val="32"/>
          <w:u w:val="none"/>
          <w:lang w:val="en-US" w:eastAsia="zh-CN" w:bidi="ar-SA"/>
        </w:rPr>
        <w:t>（三）完善信息管理。</w:t>
      </w:r>
      <w:r>
        <w:rPr>
          <w:rFonts w:hint="eastAsia" w:ascii="仿宋" w:hAnsi="仿宋" w:eastAsia="仿宋" w:cs="仿宋"/>
          <w:b w:val="0"/>
          <w:bCs w:val="0"/>
          <w:color w:val="auto"/>
          <w:kern w:val="0"/>
          <w:sz w:val="32"/>
          <w:szCs w:val="32"/>
          <w:u w:val="none"/>
          <w:lang w:eastAsia="zh-CN"/>
        </w:rPr>
        <w:t>全面摸清退役军人学历层次、个人特长、培训意向等情况，形成培训需求数据库。</w:t>
      </w:r>
      <w:r>
        <w:rPr>
          <w:rFonts w:hint="eastAsia" w:ascii="仿宋" w:hAnsi="仿宋" w:eastAsia="仿宋" w:cs="仿宋"/>
          <w:color w:val="auto"/>
          <w:sz w:val="32"/>
          <w:szCs w:val="32"/>
          <w:lang w:val="en-US" w:eastAsia="zh-CN"/>
        </w:rPr>
        <w:t>实时动态掌握退役军人参加技能培训的总体信息，建立培训情况数据库。实行培训工作半年报告制度，</w:t>
      </w:r>
      <w:r>
        <w:rPr>
          <w:rFonts w:hint="eastAsia" w:ascii="仿宋" w:hAnsi="仿宋" w:eastAsia="仿宋" w:cs="仿宋"/>
          <w:color w:val="auto"/>
          <w:kern w:val="0"/>
          <w:sz w:val="32"/>
          <w:szCs w:val="32"/>
          <w:u w:val="none"/>
          <w:lang w:eastAsia="zh-CN"/>
        </w:rPr>
        <w:t>每年</w:t>
      </w:r>
      <w:r>
        <w:rPr>
          <w:rFonts w:hint="eastAsia" w:ascii="仿宋" w:hAnsi="仿宋" w:eastAsia="仿宋" w:cs="仿宋"/>
          <w:color w:val="auto"/>
          <w:kern w:val="0"/>
          <w:sz w:val="32"/>
          <w:szCs w:val="32"/>
          <w:u w:val="none"/>
          <w:lang w:val="en-US" w:eastAsia="zh-CN"/>
        </w:rPr>
        <w:t>6月15日和12月15日报送上半年和全年的培训相关情况（详见附件2）。</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sz w:val="32"/>
          <w:szCs w:val="32"/>
        </w:rPr>
      </w:pPr>
      <w:r>
        <w:rPr>
          <w:rFonts w:hint="eastAsia" w:ascii="楷体" w:hAnsi="楷体" w:eastAsia="楷体" w:cs="楷体"/>
          <w:b w:val="0"/>
          <w:bCs w:val="0"/>
          <w:color w:val="auto"/>
          <w:kern w:val="0"/>
          <w:sz w:val="32"/>
          <w:szCs w:val="32"/>
          <w:u w:val="none"/>
          <w:lang w:val="en-US" w:eastAsia="zh-CN" w:bidi="ar-SA"/>
        </w:rPr>
        <w:t>（四）加强资金保障。</w:t>
      </w:r>
      <w:r>
        <w:rPr>
          <w:rFonts w:hint="eastAsia" w:ascii="仿宋" w:hAnsi="仿宋" w:eastAsia="仿宋" w:cs="仿宋"/>
          <w:sz w:val="32"/>
          <w:szCs w:val="32"/>
        </w:rPr>
        <w:t>中央财政按</w:t>
      </w:r>
      <w:r>
        <w:rPr>
          <w:rFonts w:hint="eastAsia" w:ascii="仿宋" w:hAnsi="仿宋" w:eastAsia="仿宋" w:cs="仿宋"/>
          <w:sz w:val="32"/>
          <w:szCs w:val="32"/>
          <w:lang w:eastAsia="zh-CN"/>
        </w:rPr>
        <w:t>实际培训</w:t>
      </w:r>
      <w:r>
        <w:rPr>
          <w:rFonts w:hint="eastAsia" w:ascii="仿宋" w:hAnsi="仿宋" w:eastAsia="仿宋" w:cs="仿宋"/>
          <w:sz w:val="32"/>
          <w:szCs w:val="32"/>
        </w:rPr>
        <w:t>人员人均3500元</w:t>
      </w:r>
      <w:r>
        <w:rPr>
          <w:rFonts w:hint="eastAsia" w:ascii="仿宋" w:hAnsi="仿宋" w:eastAsia="仿宋" w:cs="仿宋"/>
          <w:sz w:val="32"/>
          <w:szCs w:val="32"/>
          <w:lang w:eastAsia="zh-CN"/>
        </w:rPr>
        <w:t>补助</w:t>
      </w:r>
      <w:r>
        <w:rPr>
          <w:rFonts w:hint="eastAsia" w:ascii="仿宋" w:hAnsi="仿宋" w:eastAsia="仿宋" w:cs="仿宋"/>
          <w:sz w:val="32"/>
          <w:szCs w:val="32"/>
        </w:rPr>
        <w:t>，</w:t>
      </w:r>
      <w:r>
        <w:rPr>
          <w:rFonts w:hint="eastAsia" w:ascii="仿宋" w:hAnsi="仿宋" w:eastAsia="仿宋" w:cs="仿宋"/>
          <w:sz w:val="32"/>
          <w:szCs w:val="32"/>
          <w:lang w:eastAsia="zh-CN"/>
        </w:rPr>
        <w:t>省</w:t>
      </w:r>
      <w:r>
        <w:rPr>
          <w:rFonts w:hint="eastAsia" w:ascii="仿宋" w:hAnsi="仿宋" w:eastAsia="仿宋" w:cs="仿宋"/>
          <w:sz w:val="32"/>
          <w:szCs w:val="32"/>
        </w:rPr>
        <w:t>就业补助资金按</w:t>
      </w:r>
      <w:r>
        <w:rPr>
          <w:rFonts w:hint="eastAsia" w:ascii="仿宋" w:hAnsi="仿宋" w:eastAsia="仿宋" w:cs="仿宋"/>
          <w:sz w:val="32"/>
          <w:szCs w:val="32"/>
          <w:lang w:eastAsia="zh-CN"/>
        </w:rPr>
        <w:t>目标任务</w:t>
      </w:r>
      <w:r>
        <w:rPr>
          <w:rFonts w:hint="eastAsia" w:ascii="仿宋" w:hAnsi="仿宋" w:eastAsia="仿宋" w:cs="仿宋"/>
          <w:sz w:val="32"/>
          <w:szCs w:val="32"/>
        </w:rPr>
        <w:t>人均2400元安排。各</w:t>
      </w:r>
      <w:r>
        <w:rPr>
          <w:rFonts w:hint="eastAsia" w:ascii="仿宋" w:hAnsi="仿宋" w:eastAsia="仿宋" w:cs="仿宋"/>
          <w:sz w:val="32"/>
          <w:szCs w:val="32"/>
          <w:lang w:val="en-US" w:eastAsia="zh-CN"/>
        </w:rPr>
        <w:t>县、区</w:t>
      </w:r>
      <w:r>
        <w:rPr>
          <w:rFonts w:hint="eastAsia" w:ascii="仿宋" w:hAnsi="仿宋" w:eastAsia="仿宋" w:cs="仿宋"/>
          <w:sz w:val="32"/>
          <w:szCs w:val="32"/>
        </w:rPr>
        <w:t>退役军人事务部门要主动对接当地财政、人社部门，</w:t>
      </w:r>
      <w:r>
        <w:rPr>
          <w:rFonts w:hint="eastAsia" w:ascii="仿宋" w:hAnsi="仿宋" w:eastAsia="仿宋" w:cs="仿宋"/>
          <w:sz w:val="32"/>
          <w:szCs w:val="32"/>
          <w:lang w:eastAsia="zh-CN"/>
        </w:rPr>
        <w:t>按规定及时申请培训经费，</w:t>
      </w:r>
      <w:r>
        <w:rPr>
          <w:rFonts w:hint="eastAsia" w:ascii="仿宋" w:hAnsi="仿宋" w:eastAsia="仿宋" w:cs="仿宋"/>
          <w:sz w:val="32"/>
          <w:szCs w:val="32"/>
        </w:rPr>
        <w:t>坚决保障培训资金的到位率</w:t>
      </w:r>
      <w:r>
        <w:rPr>
          <w:rFonts w:hint="eastAsia" w:ascii="仿宋" w:hAnsi="仿宋" w:eastAsia="仿宋" w:cs="仿宋"/>
          <w:sz w:val="32"/>
          <w:szCs w:val="32"/>
          <w:lang w:eastAsia="zh-CN"/>
        </w:rPr>
        <w:t>。</w:t>
      </w:r>
      <w:r>
        <w:rPr>
          <w:rFonts w:hint="eastAsia" w:ascii="仿宋" w:hAnsi="仿宋" w:eastAsia="仿宋" w:cs="仿宋"/>
          <w:sz w:val="32"/>
          <w:szCs w:val="32"/>
        </w:rPr>
        <w:t>要争取社会各界力量给予更多资金支持和办班优惠。适应性培训可从技能培训经费中列支</w:t>
      </w:r>
      <w:r>
        <w:rPr>
          <w:rFonts w:hint="eastAsia" w:ascii="仿宋" w:hAnsi="仿宋" w:eastAsia="仿宋" w:cs="仿宋"/>
          <w:sz w:val="32"/>
          <w:szCs w:val="32"/>
          <w:lang w:eastAsia="zh-CN"/>
        </w:rPr>
        <w:t>，</w:t>
      </w:r>
      <w:r>
        <w:rPr>
          <w:rFonts w:hint="eastAsia" w:ascii="仿宋" w:hAnsi="仿宋" w:eastAsia="仿宋" w:cs="仿宋"/>
          <w:sz w:val="32"/>
          <w:szCs w:val="32"/>
        </w:rPr>
        <w:t>生活补助费由各县、区退役军人事务部门核定培训人员名册，按规定拨付。</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b w:val="0"/>
          <w:bCs w:val="0"/>
          <w:color w:val="auto"/>
          <w:kern w:val="0"/>
          <w:sz w:val="32"/>
          <w:szCs w:val="32"/>
          <w:u w:val="none"/>
        </w:rPr>
      </w:pPr>
      <w:r>
        <w:rPr>
          <w:rFonts w:hint="eastAsia" w:ascii="楷体" w:hAnsi="楷体" w:eastAsia="楷体" w:cs="楷体"/>
          <w:b w:val="0"/>
          <w:bCs w:val="0"/>
          <w:color w:val="auto"/>
          <w:kern w:val="0"/>
          <w:sz w:val="32"/>
          <w:szCs w:val="32"/>
          <w:u w:val="none"/>
          <w:lang w:val="en-US" w:eastAsia="zh-CN" w:bidi="ar-SA"/>
        </w:rPr>
        <w:t>（五）严格经费管理。</w:t>
      </w:r>
      <w:r>
        <w:rPr>
          <w:rFonts w:hint="eastAsia" w:ascii="仿宋" w:hAnsi="仿宋" w:eastAsia="仿宋" w:cs="仿宋"/>
          <w:b w:val="0"/>
          <w:bCs w:val="0"/>
          <w:color w:val="auto"/>
          <w:kern w:val="0"/>
          <w:sz w:val="32"/>
          <w:szCs w:val="32"/>
          <w:u w:val="none"/>
        </w:rPr>
        <w:t>各</w:t>
      </w:r>
      <w:r>
        <w:rPr>
          <w:rFonts w:hint="eastAsia" w:ascii="仿宋" w:hAnsi="仿宋" w:eastAsia="仿宋" w:cs="仿宋"/>
          <w:b w:val="0"/>
          <w:bCs w:val="0"/>
          <w:color w:val="auto"/>
          <w:kern w:val="0"/>
          <w:sz w:val="32"/>
          <w:szCs w:val="32"/>
          <w:u w:val="none"/>
          <w:lang w:val="en-US" w:eastAsia="zh-CN"/>
        </w:rPr>
        <w:t>县、区</w:t>
      </w:r>
      <w:r>
        <w:rPr>
          <w:rFonts w:hint="eastAsia" w:ascii="仿宋" w:hAnsi="仿宋" w:eastAsia="仿宋" w:cs="仿宋"/>
          <w:b w:val="0"/>
          <w:bCs w:val="0"/>
          <w:color w:val="auto"/>
          <w:kern w:val="0"/>
          <w:sz w:val="32"/>
          <w:szCs w:val="32"/>
          <w:u w:val="none"/>
        </w:rPr>
        <w:t>要严格遵守专项经费使用管理有关规定，提交财政部门拨付培训经费</w:t>
      </w:r>
      <w:r>
        <w:rPr>
          <w:rFonts w:hint="eastAsia" w:ascii="仿宋" w:hAnsi="仿宋" w:eastAsia="仿宋" w:cs="仿宋"/>
          <w:b w:val="0"/>
          <w:bCs w:val="0"/>
          <w:color w:val="auto"/>
          <w:kern w:val="0"/>
          <w:sz w:val="32"/>
          <w:szCs w:val="32"/>
          <w:u w:val="none"/>
          <w:lang w:eastAsia="zh-CN"/>
        </w:rPr>
        <w:t>所需的相关材料，</w:t>
      </w:r>
      <w:r>
        <w:rPr>
          <w:rFonts w:hint="eastAsia" w:ascii="仿宋" w:hAnsi="仿宋" w:eastAsia="仿宋" w:cs="仿宋"/>
          <w:b w:val="0"/>
          <w:bCs w:val="0"/>
          <w:color w:val="auto"/>
          <w:kern w:val="0"/>
          <w:sz w:val="32"/>
          <w:szCs w:val="32"/>
          <w:u w:val="none"/>
        </w:rPr>
        <w:t>确保培训经费专款专用，不得挪作他用，对滞留、截留、挤占、挪用、虚列、套取、私分培训资金等行为，按照有关规定依法严肃查处</w:t>
      </w:r>
      <w:r>
        <w:rPr>
          <w:rFonts w:hint="eastAsia" w:ascii="仿宋" w:hAnsi="仿宋" w:eastAsia="仿宋" w:cs="仿宋"/>
          <w:b w:val="0"/>
          <w:bCs w:val="0"/>
          <w:color w:val="auto"/>
          <w:kern w:val="0"/>
          <w:sz w:val="32"/>
          <w:szCs w:val="32"/>
          <w:u w:val="none"/>
          <w:lang w:eastAsia="zh-CN"/>
        </w:rPr>
        <w:t>；</w:t>
      </w:r>
      <w:r>
        <w:rPr>
          <w:rFonts w:hint="eastAsia" w:ascii="仿宋" w:hAnsi="仿宋" w:eastAsia="仿宋" w:cs="仿宋"/>
          <w:b w:val="0"/>
          <w:bCs w:val="0"/>
          <w:color w:val="auto"/>
          <w:kern w:val="0"/>
          <w:sz w:val="32"/>
          <w:szCs w:val="32"/>
          <w:u w:val="none"/>
        </w:rPr>
        <w:t>涉嫌犯罪的，依法移送司法机关处理。</w:t>
      </w:r>
    </w:p>
    <w:p>
      <w:pPr>
        <w:pStyle w:val="2"/>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color w:val="auto"/>
          <w:sz w:val="32"/>
          <w:szCs w:val="32"/>
          <w:u w:val="none"/>
          <w:lang w:val="en-US" w:eastAsia="zh-CN"/>
        </w:rPr>
      </w:pPr>
      <w:r>
        <w:rPr>
          <w:rFonts w:hint="eastAsia" w:ascii="楷体" w:hAnsi="楷体" w:eastAsia="楷体" w:cs="楷体"/>
          <w:b w:val="0"/>
          <w:bCs w:val="0"/>
          <w:color w:val="auto"/>
          <w:kern w:val="0"/>
          <w:sz w:val="32"/>
          <w:szCs w:val="32"/>
          <w:u w:val="none"/>
          <w:lang w:val="en-US" w:eastAsia="zh-CN"/>
        </w:rPr>
        <w:t>（六）强化疫情防控。</w:t>
      </w:r>
      <w:r>
        <w:rPr>
          <w:rFonts w:hint="eastAsia" w:ascii="仿宋" w:hAnsi="仿宋" w:eastAsia="仿宋" w:cs="仿宋"/>
          <w:b w:val="0"/>
          <w:bCs w:val="0"/>
          <w:color w:val="auto"/>
          <w:kern w:val="0"/>
          <w:sz w:val="32"/>
          <w:szCs w:val="32"/>
          <w:u w:val="none"/>
          <w:lang w:val="en-US" w:eastAsia="zh-CN"/>
        </w:rPr>
        <w:t>各县、区要严格执行当地疫情防控的相关要求，确保参训人员身体健康，必要时可采取线上培训方式，将优质课程链接及时提供给退役军人，鼓励符合条件且有意愿的退役军人参加线上学习。</w:t>
      </w:r>
    </w:p>
    <w:p>
      <w:pPr>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color w:val="auto"/>
          <w:sz w:val="32"/>
          <w:szCs w:val="32"/>
          <w:u w:val="none"/>
          <w:lang w:val="en-US" w:eastAsia="zh-CN"/>
        </w:rPr>
      </w:pPr>
      <w:r>
        <w:rPr>
          <w:rFonts w:hint="eastAsia" w:ascii="仿宋" w:hAnsi="仿宋" w:eastAsia="仿宋" w:cs="仿宋"/>
          <w:color w:val="auto"/>
          <w:sz w:val="32"/>
          <w:szCs w:val="32"/>
          <w:u w:val="none"/>
          <w:lang w:val="en-US" w:eastAsia="zh-CN"/>
        </w:rPr>
        <w:t>联系人：宋宏伟，3150309</w:t>
      </w:r>
    </w:p>
    <w:p>
      <w:pPr>
        <w:pStyle w:val="2"/>
        <w:keepNext w:val="0"/>
        <w:keepLines w:val="0"/>
        <w:pageBreakBefore w:val="0"/>
        <w:widowControl w:val="0"/>
        <w:kinsoku/>
        <w:wordWrap/>
        <w:overflowPunct w:val="0"/>
        <w:topLinePunct w:val="0"/>
        <w:autoSpaceDE/>
        <w:autoSpaceDN/>
        <w:bidi w:val="0"/>
        <w:adjustRightInd/>
        <w:snapToGrid/>
        <w:spacing w:line="580" w:lineRule="exact"/>
        <w:ind w:firstLine="640" w:firstLineChars="200"/>
        <w:jc w:val="both"/>
        <w:textAlignment w:val="auto"/>
        <w:rPr>
          <w:rFonts w:hint="eastAsia" w:ascii="仿宋" w:hAnsi="仿宋" w:eastAsia="仿宋" w:cs="仿宋"/>
          <w:color w:val="auto"/>
          <w:kern w:val="0"/>
          <w:sz w:val="32"/>
          <w:szCs w:val="32"/>
          <w:lang w:val="en-US" w:eastAsia="zh-CN"/>
        </w:rPr>
      </w:pPr>
      <w:r>
        <w:rPr>
          <w:rFonts w:hint="eastAsia" w:ascii="仿宋" w:hAnsi="仿宋" w:eastAsia="仿宋" w:cs="仿宋"/>
          <w:color w:val="auto"/>
          <w:kern w:val="0"/>
          <w:sz w:val="32"/>
          <w:szCs w:val="32"/>
          <w:lang w:val="en-US" w:eastAsia="zh-CN"/>
        </w:rPr>
        <w:t>邮  箱：2147635425</w:t>
      </w:r>
      <w:r>
        <w:rPr>
          <w:rFonts w:hint="eastAsia" w:ascii="仿宋" w:hAnsi="仿宋" w:eastAsia="仿宋" w:cs="仿宋"/>
          <w:color w:val="000000"/>
          <w:sz w:val="32"/>
          <w:szCs w:val="32"/>
        </w:rPr>
        <w:t>@</w:t>
      </w:r>
      <w:r>
        <w:rPr>
          <w:rFonts w:hint="eastAsia" w:ascii="仿宋" w:hAnsi="仿宋" w:eastAsia="仿宋" w:cs="仿宋"/>
          <w:color w:val="000000"/>
          <w:sz w:val="32"/>
          <w:szCs w:val="32"/>
          <w:lang w:val="en-US" w:eastAsia="zh-CN"/>
        </w:rPr>
        <w:t>qq</w:t>
      </w:r>
      <w:r>
        <w:rPr>
          <w:rFonts w:hint="eastAsia" w:ascii="仿宋" w:hAnsi="仿宋" w:eastAsia="仿宋" w:cs="仿宋"/>
          <w:color w:val="000000"/>
          <w:sz w:val="32"/>
          <w:szCs w:val="32"/>
        </w:rPr>
        <w:t>.com</w:t>
      </w:r>
      <w:r>
        <w:rPr>
          <w:rFonts w:hint="eastAsia" w:ascii="仿宋" w:hAnsi="仿宋" w:eastAsia="仿宋" w:cs="仿宋"/>
          <w:color w:val="auto"/>
          <w:kern w:val="0"/>
          <w:sz w:val="32"/>
          <w:szCs w:val="32"/>
          <w:lang w:val="en-US" w:eastAsia="zh-CN"/>
        </w:rPr>
        <w:t xml:space="preserve">  </w:t>
      </w:r>
    </w:p>
    <w:p>
      <w:pPr>
        <w:pStyle w:val="2"/>
        <w:keepNext w:val="0"/>
        <w:keepLines w:val="0"/>
        <w:pageBreakBefore w:val="0"/>
        <w:widowControl w:val="0"/>
        <w:kinsoku/>
        <w:wordWrap/>
        <w:overflowPunct w:val="0"/>
        <w:topLinePunct w:val="0"/>
        <w:autoSpaceDE/>
        <w:autoSpaceDN/>
        <w:bidi w:val="0"/>
        <w:adjustRightInd/>
        <w:snapToGrid/>
        <w:spacing w:line="580" w:lineRule="exact"/>
        <w:ind w:firstLine="640" w:firstLineChars="200"/>
        <w:rPr>
          <w:rFonts w:hint="eastAsia" w:ascii="仿宋" w:hAnsi="仿宋" w:eastAsia="仿宋" w:cs="仿宋"/>
          <w:color w:val="auto"/>
          <w:sz w:val="32"/>
          <w:szCs w:val="32"/>
          <w:u w:val="none"/>
          <w:lang w:val="en-US" w:eastAsia="zh-CN"/>
        </w:rPr>
      </w:pPr>
      <w:r>
        <w:rPr>
          <w:rFonts w:hint="eastAsia" w:ascii="仿宋" w:hAnsi="仿宋" w:eastAsia="仿宋" w:cs="仿宋"/>
          <w:color w:val="auto"/>
          <w:sz w:val="32"/>
          <w:szCs w:val="32"/>
          <w:u w:val="none"/>
          <w:lang w:val="en-US" w:eastAsia="zh-CN"/>
        </w:rPr>
        <w:t>附件：1. 年度培训目标任务分配表</w:t>
      </w:r>
    </w:p>
    <w:p>
      <w:pPr>
        <w:keepNext w:val="0"/>
        <w:keepLines w:val="0"/>
        <w:pageBreakBefore w:val="0"/>
        <w:widowControl w:val="0"/>
        <w:numPr>
          <w:numId w:val="0"/>
        </w:numPr>
        <w:kinsoku/>
        <w:wordWrap/>
        <w:overflowPunct w:val="0"/>
        <w:topLinePunct w:val="0"/>
        <w:autoSpaceDE/>
        <w:autoSpaceDN/>
        <w:bidi w:val="0"/>
        <w:adjustRightInd/>
        <w:snapToGrid/>
        <w:spacing w:line="580" w:lineRule="exact"/>
        <w:ind w:firstLine="1600" w:firstLineChars="500"/>
        <w:jc w:val="both"/>
        <w:rPr>
          <w:rFonts w:hint="eastAsia" w:ascii="仿宋" w:hAnsi="仿宋" w:eastAsia="仿宋" w:cs="仿宋"/>
          <w:color w:val="auto"/>
          <w:sz w:val="32"/>
          <w:szCs w:val="32"/>
          <w:u w:val="none"/>
          <w:lang w:val="en-US" w:eastAsia="zh-CN"/>
        </w:rPr>
      </w:pPr>
      <w:r>
        <w:rPr>
          <w:rFonts w:hint="eastAsia" w:ascii="仿宋" w:hAnsi="仿宋" w:eastAsia="仿宋" w:cs="仿宋"/>
          <w:color w:val="auto"/>
          <w:sz w:val="32"/>
          <w:szCs w:val="32"/>
          <w:u w:val="none"/>
          <w:lang w:val="en-US" w:eastAsia="zh-CN"/>
        </w:rPr>
        <w:t>2.XX县、区退役军人技能培训情况汇总表</w:t>
      </w:r>
    </w:p>
    <w:p>
      <w:pPr>
        <w:pStyle w:val="2"/>
        <w:keepNext w:val="0"/>
        <w:keepLines w:val="0"/>
        <w:pageBreakBefore w:val="0"/>
        <w:widowControl w:val="0"/>
        <w:kinsoku/>
        <w:wordWrap/>
        <w:overflowPunct/>
        <w:topLinePunct w:val="0"/>
        <w:autoSpaceDE/>
        <w:autoSpaceDN/>
        <w:bidi w:val="0"/>
        <w:adjustRightInd/>
        <w:snapToGrid/>
        <w:spacing w:line="640" w:lineRule="exact"/>
        <w:textAlignment w:val="auto"/>
        <w:rPr>
          <w:rFonts w:hint="eastAsia" w:ascii="仿宋" w:hAnsi="仿宋" w:eastAsia="仿宋" w:cs="仿宋"/>
          <w:color w:val="auto"/>
          <w:sz w:val="32"/>
          <w:szCs w:val="32"/>
          <w:u w:val="none"/>
          <w:lang w:val="en-US" w:eastAsia="zh-CN"/>
        </w:rPr>
      </w:pPr>
      <w:r>
        <w:rPr>
          <w:rFonts w:hint="eastAsia" w:ascii="仿宋" w:hAnsi="仿宋" w:eastAsia="仿宋" w:cs="仿宋"/>
          <w:color w:val="auto"/>
          <w:sz w:val="32"/>
          <w:szCs w:val="32"/>
          <w:u w:val="none"/>
        </w:rPr>
        <w:t xml:space="preserve">  </w:t>
      </w:r>
      <w:r>
        <w:rPr>
          <w:rFonts w:hint="eastAsia" w:ascii="仿宋" w:hAnsi="仿宋" w:eastAsia="仿宋" w:cs="仿宋"/>
          <w:color w:val="auto"/>
          <w:sz w:val="32"/>
          <w:szCs w:val="32"/>
          <w:u w:val="none"/>
          <w:lang w:val="en-US" w:eastAsia="zh-CN"/>
        </w:rPr>
        <w:t xml:space="preserve">                        </w:t>
      </w:r>
    </w:p>
    <w:p>
      <w:pPr>
        <w:pStyle w:val="2"/>
        <w:keepNext w:val="0"/>
        <w:keepLines w:val="0"/>
        <w:pageBreakBefore w:val="0"/>
        <w:kinsoku/>
        <w:wordWrap/>
        <w:overflowPunct/>
        <w:topLinePunct w:val="0"/>
        <w:autoSpaceDE/>
        <w:autoSpaceDN/>
        <w:bidi w:val="0"/>
        <w:snapToGrid/>
        <w:spacing w:line="600" w:lineRule="exact"/>
        <w:rPr>
          <w:rFonts w:hint="eastAsia" w:ascii="仿宋" w:hAnsi="仿宋" w:eastAsia="仿宋" w:cs="仿宋"/>
          <w:color w:val="auto"/>
          <w:sz w:val="32"/>
          <w:szCs w:val="32"/>
          <w:u w:val="none"/>
          <w:lang w:val="en-US" w:eastAsia="zh-CN"/>
        </w:rPr>
      </w:pPr>
      <w:r>
        <w:rPr>
          <w:rFonts w:hint="eastAsia" w:ascii="仿宋" w:hAnsi="仿宋" w:eastAsia="仿宋" w:cs="仿宋"/>
          <w:color w:val="auto"/>
          <w:sz w:val="32"/>
          <w:szCs w:val="32"/>
          <w:u w:val="none"/>
          <w:lang w:val="en-US" w:eastAsia="zh-CN"/>
        </w:rPr>
        <w:t xml:space="preserve">                               宿州市退役军人事务局</w:t>
      </w:r>
    </w:p>
    <w:p>
      <w:pPr>
        <w:pStyle w:val="2"/>
        <w:keepNext w:val="0"/>
        <w:keepLines w:val="0"/>
        <w:pageBreakBefore w:val="0"/>
        <w:kinsoku/>
        <w:wordWrap/>
        <w:overflowPunct/>
        <w:topLinePunct w:val="0"/>
        <w:autoSpaceDE/>
        <w:autoSpaceDN/>
        <w:bidi w:val="0"/>
        <w:snapToGrid/>
        <w:spacing w:line="600" w:lineRule="exact"/>
        <w:ind w:left="0" w:leftChars="0" w:firstLine="5318" w:firstLineChars="1662"/>
        <w:rPr>
          <w:rFonts w:hint="eastAsia" w:ascii="仿宋" w:hAnsi="仿宋" w:eastAsia="仿宋" w:cs="仿宋"/>
          <w:color w:val="auto"/>
          <w:sz w:val="32"/>
          <w:szCs w:val="32"/>
          <w:u w:val="none"/>
          <w:lang w:val="en-US" w:eastAsia="zh-CN"/>
        </w:rPr>
      </w:pPr>
      <w:r>
        <w:rPr>
          <w:rFonts w:hint="eastAsia" w:ascii="仿宋" w:hAnsi="仿宋" w:eastAsia="仿宋" w:cs="仿宋"/>
          <w:color w:val="auto"/>
          <w:sz w:val="32"/>
          <w:szCs w:val="32"/>
          <w:u w:val="none"/>
          <w:lang w:eastAsia="zh-CN"/>
        </w:rPr>
        <w:t>2022年</w:t>
      </w:r>
      <w:r>
        <w:rPr>
          <w:rFonts w:hint="eastAsia" w:ascii="仿宋" w:hAnsi="仿宋" w:eastAsia="仿宋" w:cs="仿宋"/>
          <w:color w:val="auto"/>
          <w:sz w:val="32"/>
          <w:szCs w:val="32"/>
          <w:u w:val="none"/>
          <w:lang w:val="en-US" w:eastAsia="zh-CN"/>
        </w:rPr>
        <w:t>5</w:t>
      </w:r>
      <w:r>
        <w:rPr>
          <w:rFonts w:hint="eastAsia" w:ascii="仿宋" w:hAnsi="仿宋" w:eastAsia="仿宋" w:cs="仿宋"/>
          <w:color w:val="auto"/>
          <w:sz w:val="32"/>
          <w:szCs w:val="32"/>
          <w:u w:val="none"/>
          <w:lang w:eastAsia="zh-CN"/>
        </w:rPr>
        <w:t>月</w:t>
      </w:r>
      <w:r>
        <w:rPr>
          <w:rFonts w:hint="eastAsia" w:ascii="仿宋" w:hAnsi="仿宋" w:eastAsia="仿宋" w:cs="仿宋"/>
          <w:color w:val="auto"/>
          <w:sz w:val="32"/>
          <w:szCs w:val="32"/>
          <w:u w:val="none"/>
          <w:lang w:val="en-US" w:eastAsia="zh-CN"/>
        </w:rPr>
        <w:t>10</w:t>
      </w:r>
      <w:r>
        <w:rPr>
          <w:rFonts w:hint="eastAsia" w:ascii="仿宋" w:hAnsi="仿宋" w:eastAsia="仿宋" w:cs="仿宋"/>
          <w:color w:val="auto"/>
          <w:sz w:val="32"/>
          <w:szCs w:val="32"/>
          <w:u w:val="none"/>
          <w:lang w:eastAsia="zh-CN"/>
        </w:rPr>
        <w:t>日</w:t>
      </w:r>
    </w:p>
    <w:p>
      <w:pPr>
        <w:pStyle w:val="4"/>
        <w:rPr>
          <w:rFonts w:hint="eastAsia"/>
          <w:lang w:val="en-US" w:eastAsia="zh-CN"/>
        </w:rPr>
      </w:pPr>
    </w:p>
    <w:p>
      <w:pPr>
        <w:pStyle w:val="2"/>
        <w:keepNext w:val="0"/>
        <w:keepLines w:val="0"/>
        <w:pageBreakBefore w:val="0"/>
        <w:kinsoku/>
        <w:wordWrap/>
        <w:overflowPunct/>
        <w:topLinePunct w:val="0"/>
        <w:autoSpaceDE/>
        <w:autoSpaceDN/>
        <w:bidi w:val="0"/>
        <w:snapToGrid/>
        <w:spacing w:line="600" w:lineRule="exact"/>
        <w:jc w:val="left"/>
        <w:rPr>
          <w:rFonts w:hint="default" w:ascii="Times New Roman" w:hAnsi="Times New Roman" w:eastAsia="方正黑体_GBK" w:cs="Times New Roman"/>
          <w:b w:val="0"/>
          <w:bCs w:val="0"/>
          <w:color w:val="auto"/>
          <w:sz w:val="32"/>
          <w:szCs w:val="32"/>
          <w:u w:val="none"/>
          <w:lang w:val="en-US" w:eastAsia="zh-CN"/>
        </w:rPr>
      </w:pPr>
      <w:r>
        <w:rPr>
          <w:rFonts w:hint="default" w:ascii="Times New Roman" w:hAnsi="Times New Roman" w:eastAsia="方正黑体_GBK" w:cs="Times New Roman"/>
          <w:b w:val="0"/>
          <w:bCs w:val="0"/>
          <w:color w:val="auto"/>
          <w:sz w:val="32"/>
          <w:szCs w:val="32"/>
          <w:u w:val="none"/>
          <w:lang w:val="en-US" w:eastAsia="zh-CN"/>
        </w:rPr>
        <w:t>附件1</w:t>
      </w:r>
    </w:p>
    <w:p>
      <w:pPr>
        <w:pStyle w:val="2"/>
        <w:keepNext w:val="0"/>
        <w:keepLines w:val="0"/>
        <w:pageBreakBefore w:val="0"/>
        <w:kinsoku/>
        <w:wordWrap/>
        <w:overflowPunct/>
        <w:topLinePunct w:val="0"/>
        <w:autoSpaceDE/>
        <w:autoSpaceDN/>
        <w:bidi w:val="0"/>
        <w:snapToGrid/>
        <w:spacing w:line="600" w:lineRule="exact"/>
        <w:jc w:val="left"/>
        <w:rPr>
          <w:rFonts w:hint="default" w:ascii="Times New Roman" w:hAnsi="Times New Roman" w:eastAsia="方正黑体_GBK" w:cs="Times New Roman"/>
          <w:b w:val="0"/>
          <w:bCs w:val="0"/>
          <w:color w:val="auto"/>
          <w:sz w:val="32"/>
          <w:szCs w:val="32"/>
          <w:u w:val="none"/>
          <w:lang w:val="en-US" w:eastAsia="zh-CN"/>
        </w:rPr>
      </w:pPr>
    </w:p>
    <w:p>
      <w:pPr>
        <w:pStyle w:val="2"/>
        <w:keepNext w:val="0"/>
        <w:keepLines w:val="0"/>
        <w:pageBreakBefore w:val="0"/>
        <w:widowControl w:val="0"/>
        <w:kinsoku/>
        <w:wordWrap/>
        <w:overflowPunct/>
        <w:topLinePunct w:val="0"/>
        <w:autoSpaceDE/>
        <w:autoSpaceDN/>
        <w:bidi w:val="0"/>
        <w:adjustRightInd/>
        <w:snapToGrid/>
        <w:spacing w:before="157" w:beforeLines="50" w:after="313" w:afterLines="100" w:line="600" w:lineRule="exact"/>
        <w:jc w:val="center"/>
        <w:textAlignment w:val="auto"/>
        <w:rPr>
          <w:rFonts w:hint="eastAsia" w:ascii="方正小标宋_GBK" w:hAnsi="方正小标宋_GBK" w:eastAsia="方正小标宋_GBK" w:cs="方正小标宋_GBK"/>
          <w:color w:val="auto"/>
          <w:sz w:val="44"/>
          <w:szCs w:val="44"/>
          <w:u w:val="none"/>
          <w:lang w:val="en-US" w:eastAsia="zh-CN"/>
        </w:rPr>
      </w:pPr>
      <w:r>
        <w:rPr>
          <w:rFonts w:hint="eastAsia" w:ascii="方正小标宋_GBK" w:hAnsi="方正小标宋_GBK" w:eastAsia="方正小标宋_GBK" w:cs="方正小标宋_GBK"/>
          <w:color w:val="auto"/>
          <w:sz w:val="44"/>
          <w:szCs w:val="44"/>
          <w:u w:val="none"/>
          <w:lang w:val="en-US" w:eastAsia="zh-CN"/>
        </w:rPr>
        <w:t>年度培训目标任务分配表</w:t>
      </w:r>
    </w:p>
    <w:tbl>
      <w:tblPr>
        <w:tblStyle w:val="9"/>
        <w:tblW w:w="8293"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2426"/>
        <w:gridCol w:w="5867"/>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583" w:hRule="atLeast"/>
          <w:jc w:val="center"/>
        </w:trPr>
        <w:tc>
          <w:tcPr>
            <w:tcW w:w="2426" w:type="dxa"/>
            <w:tcBorders>
              <w:tl2br w:val="nil"/>
              <w:tr2bl w:val="nil"/>
            </w:tcBorders>
            <w:noWrap w:val="0"/>
            <w:vAlign w:val="center"/>
            <mc:AlternateContent>
              <mc:Choice Requires="wpsCustomData">
                <wpsCustomData:diagonals>
                  <wpsCustomData:diagonal from="20000" to="0">
                    <wpsCustomData:border w:val="single" w:color="000000" w:sz="8" w:space="0"/>
                  </wpsCustomData:diagonal>
                </wpsCustomData:diagonals>
              </mc:Choice>
            </mc:AlternateContent>
          </w:tcPr>
          <w:p>
            <w:pPr>
              <w:keepNext w:val="0"/>
              <w:keepLines w:val="0"/>
              <w:pageBreakBefore w:val="0"/>
              <w:tabs>
                <w:tab w:val="left" w:pos="491"/>
                <w:tab w:val="center" w:pos="1165"/>
              </w:tabs>
              <w:kinsoku/>
              <w:wordWrap/>
              <w:overflowPunct/>
              <w:topLinePunct w:val="0"/>
              <w:autoSpaceDE/>
              <w:autoSpaceDN/>
              <w:bidi w:val="0"/>
              <w:adjustRightInd/>
              <w:snapToGrid w:val="0"/>
              <w:spacing w:line="600" w:lineRule="exact"/>
              <w:jc w:val="left"/>
              <mc:AlternateContent>
                <mc:Choice Requires="wpsCustomData">
                  <wpsCustomData:diagonalParaType/>
                </mc:Choice>
              </mc:AlternateContent>
              <w:rPr>
                <w:rFonts w:hint="eastAsia" w:ascii="方正黑体_GBK" w:hAnsi="方正黑体_GBK" w:eastAsia="方正黑体_GBK" w:cs="方正黑体_GBK"/>
                <w:sz w:val="28"/>
                <w:szCs w:val="28"/>
                <w:lang w:val="en" w:eastAsia="zh-CN"/>
              </w:rPr>
            </w:pPr>
            <w:r>
              <w:rPr>
                <w:rFonts w:hint="eastAsia" w:ascii="方正黑体_GBK" w:hAnsi="方正黑体_GBK" w:eastAsia="方正黑体_GBK" w:cs="方正黑体_GBK"/>
                <w:sz w:val="28"/>
                <w:szCs w:val="28"/>
                <w:lang w:val="en" w:eastAsia="zh-CN"/>
              </w:rPr>
              <w:t>地区</w:t>
            </w:r>
          </w:p>
          <w:p>
            <w:pPr>
              <w:keepNext w:val="0"/>
              <w:keepLines w:val="0"/>
              <w:pageBreakBefore w:val="0"/>
              <w:kinsoku/>
              <w:wordWrap/>
              <w:overflowPunct/>
              <w:topLinePunct w:val="0"/>
              <w:autoSpaceDE/>
              <w:autoSpaceDN/>
              <w:bidi w:val="0"/>
              <w:adjustRightInd/>
              <w:spacing w:line="600" w:lineRule="exact"/>
              <w:jc w:val="center"/>
              <w:rPr>
                <w:rFonts w:hint="eastAsia" w:ascii="方正黑体_GBK" w:hAnsi="方正黑体_GBK" w:eastAsia="方正黑体_GBK" w:cs="方正黑体_GBK"/>
                <w:sz w:val="28"/>
                <w:szCs w:val="28"/>
                <w:lang w:val="en-US" w:eastAsia="zh-CN"/>
              </w:rPr>
            </w:pPr>
            <w:r>
              <w:rPr>
                <w:rFonts w:hint="eastAsia" w:ascii="方正黑体_GBK" w:hAnsi="方正黑体_GBK" w:eastAsia="方正黑体_GBK" w:cs="方正黑体_GBK"/>
                <w:sz w:val="28"/>
                <w:szCs w:val="28"/>
                <w:lang w:val="en-US" w:eastAsia="zh-CN"/>
              </w:rPr>
              <w:t xml:space="preserve"> </w:t>
            </w:r>
          </w:p>
          <w:p>
            <w:pPr>
              <w:bidi w:val="0"/>
              <w:jc w:val="center"/>
              <w:rPr>
                <w:rFonts w:hint="eastAsia" w:ascii="方正黑体_GBK" w:hAnsi="方正黑体_GBK" w:eastAsia="方正黑体_GBK" w:cs="方正黑体_GBK"/>
                <w:sz w:val="28"/>
                <w:szCs w:val="28"/>
                <w:lang w:val="en-US" w:eastAsia="zh-CN"/>
              </w:rPr>
            </w:pPr>
            <w:r>
              <w:rPr>
                <w:rFonts w:hint="eastAsia" w:ascii="方正黑体_GBK" w:hAnsi="方正黑体_GBK" w:eastAsia="方正黑体_GBK" w:cs="方正黑体_GBK"/>
                <w:sz w:val="28"/>
                <w:szCs w:val="28"/>
                <w:lang w:val="en-US" w:eastAsia="zh-CN"/>
              </w:rPr>
              <w:t>任务</w:t>
            </w:r>
          </w:p>
        </w:tc>
        <w:tc>
          <w:tcPr>
            <w:tcW w:w="58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pacing w:line="600" w:lineRule="exact"/>
              <w:jc w:val="center"/>
              <w:textAlignment w:val="center"/>
              <w:rPr>
                <w:rFonts w:hint="eastAsia" w:ascii="方正黑体_GBK" w:hAnsi="方正黑体_GBK" w:eastAsia="方正黑体_GBK" w:cs="方正黑体_GBK"/>
                <w:i w:val="0"/>
                <w:color w:val="000000"/>
                <w:sz w:val="30"/>
                <w:szCs w:val="30"/>
                <w:u w:val="none"/>
              </w:rPr>
            </w:pPr>
            <w:r>
              <w:rPr>
                <w:rFonts w:hint="eastAsia" w:ascii="方正黑体_GBK" w:hAnsi="方正黑体_GBK" w:eastAsia="方正黑体_GBK" w:cs="方正黑体_GBK"/>
                <w:i w:val="0"/>
                <w:color w:val="000000"/>
                <w:kern w:val="0"/>
                <w:sz w:val="28"/>
                <w:szCs w:val="28"/>
                <w:u w:val="none"/>
                <w:lang w:val="en-US" w:eastAsia="zh-CN" w:bidi="ar"/>
              </w:rPr>
              <w:t>目标任务（人）</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415" w:hRule="exact"/>
          <w:jc w:val="center"/>
        </w:trPr>
        <w:tc>
          <w:tcPr>
            <w:tcW w:w="24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仿宋_GBK" w:cs="Times New Roman"/>
                <w:b/>
                <w:i w:val="0"/>
                <w:color w:val="000000"/>
                <w:sz w:val="28"/>
                <w:szCs w:val="28"/>
                <w:u w:val="none"/>
              </w:rPr>
            </w:pPr>
            <w:r>
              <w:rPr>
                <w:rFonts w:hint="default" w:ascii="Times New Roman" w:hAnsi="Times New Roman" w:eastAsia="方正仿宋_GBK" w:cs="Times New Roman"/>
                <w:b w:val="0"/>
                <w:bCs/>
                <w:i w:val="0"/>
                <w:color w:val="000000"/>
                <w:kern w:val="0"/>
                <w:sz w:val="28"/>
                <w:szCs w:val="28"/>
                <w:u w:val="none"/>
                <w:lang w:val="en-US" w:eastAsia="zh-CN" w:bidi="ar"/>
              </w:rPr>
              <w:t>全</w:t>
            </w:r>
            <w:r>
              <w:rPr>
                <w:rFonts w:hint="eastAsia" w:ascii="Times New Roman" w:hAnsi="Times New Roman" w:eastAsia="方正仿宋_GBK" w:cs="Times New Roman"/>
                <w:b w:val="0"/>
                <w:bCs/>
                <w:i w:val="0"/>
                <w:color w:val="000000"/>
                <w:kern w:val="0"/>
                <w:sz w:val="28"/>
                <w:szCs w:val="28"/>
                <w:u w:val="none"/>
                <w:lang w:val="en-US" w:eastAsia="zh-CN" w:bidi="ar"/>
              </w:rPr>
              <w:t>市</w:t>
            </w:r>
            <w:r>
              <w:rPr>
                <w:rFonts w:hint="default" w:ascii="Times New Roman" w:hAnsi="Times New Roman" w:eastAsia="方正仿宋_GBK" w:cs="Times New Roman"/>
                <w:b w:val="0"/>
                <w:bCs/>
                <w:i w:val="0"/>
                <w:color w:val="000000"/>
                <w:kern w:val="0"/>
                <w:sz w:val="28"/>
                <w:szCs w:val="28"/>
                <w:u w:val="none"/>
                <w:lang w:val="en-US" w:eastAsia="zh-CN" w:bidi="ar"/>
              </w:rPr>
              <w:t>汇总</w:t>
            </w:r>
          </w:p>
        </w:tc>
        <w:tc>
          <w:tcPr>
            <w:tcW w:w="58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仿宋_GBK" w:cs="Times New Roman"/>
                <w:b/>
                <w:i w:val="0"/>
                <w:color w:val="000000"/>
                <w:sz w:val="28"/>
                <w:szCs w:val="28"/>
                <w:u w:val="none"/>
                <w:lang w:val="en-US" w:eastAsia="zh-CN"/>
              </w:rPr>
            </w:pPr>
            <w:r>
              <w:rPr>
                <w:rFonts w:hint="eastAsia" w:ascii="Times New Roman" w:hAnsi="Times New Roman" w:eastAsia="方正仿宋_GBK" w:cs="Times New Roman"/>
                <w:b w:val="0"/>
                <w:bCs/>
                <w:i w:val="0"/>
                <w:color w:val="000000"/>
                <w:sz w:val="28"/>
                <w:szCs w:val="28"/>
                <w:u w:val="none"/>
                <w:lang w:val="en-US" w:eastAsia="zh-CN"/>
              </w:rPr>
              <w:t>1390</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280" w:hRule="exact"/>
          <w:jc w:val="center"/>
        </w:trPr>
        <w:tc>
          <w:tcPr>
            <w:tcW w:w="24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Times New Roman"/>
                <w:i w:val="0"/>
                <w:color w:val="000000"/>
                <w:sz w:val="28"/>
                <w:szCs w:val="28"/>
                <w:u w:val="none"/>
                <w:lang w:val="en-US" w:eastAsia="zh-CN"/>
              </w:rPr>
            </w:pPr>
            <w:r>
              <w:rPr>
                <w:rFonts w:hint="eastAsia" w:ascii="Times New Roman" w:hAnsi="Times New Roman" w:eastAsia="方正仿宋_GBK" w:cs="Times New Roman"/>
                <w:i w:val="0"/>
                <w:color w:val="000000"/>
                <w:sz w:val="28"/>
                <w:szCs w:val="28"/>
                <w:u w:val="none"/>
                <w:lang w:val="en-US" w:eastAsia="zh-CN"/>
              </w:rPr>
              <w:t>埇桥区</w:t>
            </w:r>
          </w:p>
        </w:tc>
        <w:tc>
          <w:tcPr>
            <w:tcW w:w="58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仿宋_GBK" w:cs="Times New Roman"/>
                <w:b w:val="0"/>
                <w:bCs w:val="0"/>
                <w:i w:val="0"/>
                <w:color w:val="000000"/>
                <w:sz w:val="28"/>
                <w:szCs w:val="28"/>
                <w:u w:val="none"/>
                <w:lang w:val="en-US" w:eastAsia="zh-CN"/>
              </w:rPr>
            </w:pPr>
            <w:r>
              <w:rPr>
                <w:rFonts w:hint="eastAsia" w:ascii="Times New Roman" w:hAnsi="Times New Roman" w:eastAsia="方正仿宋_GBK" w:cs="Times New Roman"/>
                <w:b w:val="0"/>
                <w:bCs w:val="0"/>
                <w:i w:val="0"/>
                <w:color w:val="000000"/>
                <w:sz w:val="28"/>
                <w:szCs w:val="28"/>
                <w:u w:val="none"/>
                <w:lang w:val="en-US" w:eastAsia="zh-CN"/>
              </w:rPr>
              <w:t>430</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310" w:hRule="exact"/>
          <w:jc w:val="center"/>
        </w:trPr>
        <w:tc>
          <w:tcPr>
            <w:tcW w:w="24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Times New Roman"/>
                <w:i w:val="0"/>
                <w:color w:val="000000"/>
                <w:sz w:val="28"/>
                <w:szCs w:val="28"/>
                <w:u w:val="none"/>
                <w:lang w:val="en-US" w:eastAsia="zh-CN"/>
              </w:rPr>
            </w:pPr>
            <w:r>
              <w:rPr>
                <w:rFonts w:hint="eastAsia" w:ascii="Times New Roman" w:hAnsi="Times New Roman" w:eastAsia="方正仿宋_GBK" w:cs="Times New Roman"/>
                <w:i w:val="0"/>
                <w:color w:val="000000"/>
                <w:sz w:val="28"/>
                <w:szCs w:val="28"/>
                <w:u w:val="none"/>
                <w:lang w:val="en-US" w:eastAsia="zh-CN"/>
              </w:rPr>
              <w:t>砀山县</w:t>
            </w:r>
          </w:p>
        </w:tc>
        <w:tc>
          <w:tcPr>
            <w:tcW w:w="58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仿宋_GBK" w:cs="Times New Roman"/>
                <w:b w:val="0"/>
                <w:bCs w:val="0"/>
                <w:i w:val="0"/>
                <w:color w:val="000000"/>
                <w:sz w:val="28"/>
                <w:szCs w:val="28"/>
                <w:u w:val="none"/>
                <w:lang w:val="en-US" w:eastAsia="zh-CN"/>
              </w:rPr>
            </w:pPr>
            <w:r>
              <w:rPr>
                <w:rFonts w:hint="eastAsia" w:ascii="Times New Roman" w:hAnsi="Times New Roman" w:eastAsia="方正仿宋_GBK" w:cs="Times New Roman"/>
                <w:b w:val="0"/>
                <w:bCs w:val="0"/>
                <w:i w:val="0"/>
                <w:color w:val="000000"/>
                <w:sz w:val="28"/>
                <w:szCs w:val="28"/>
                <w:u w:val="none"/>
                <w:lang w:val="en-US" w:eastAsia="zh-CN"/>
              </w:rPr>
              <w:t>222</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340" w:hRule="exact"/>
          <w:jc w:val="center"/>
        </w:trPr>
        <w:tc>
          <w:tcPr>
            <w:tcW w:w="24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Times New Roman"/>
                <w:i w:val="0"/>
                <w:color w:val="000000"/>
                <w:sz w:val="28"/>
                <w:szCs w:val="28"/>
                <w:u w:val="none"/>
                <w:lang w:val="en-US" w:eastAsia="zh-CN"/>
              </w:rPr>
            </w:pPr>
            <w:r>
              <w:rPr>
                <w:rFonts w:hint="eastAsia" w:ascii="Times New Roman" w:hAnsi="Times New Roman" w:eastAsia="方正仿宋_GBK" w:cs="Times New Roman"/>
                <w:i w:val="0"/>
                <w:color w:val="000000"/>
                <w:sz w:val="28"/>
                <w:szCs w:val="28"/>
                <w:u w:val="none"/>
                <w:lang w:val="en-US" w:eastAsia="zh-CN"/>
              </w:rPr>
              <w:t>萧县</w:t>
            </w:r>
          </w:p>
        </w:tc>
        <w:tc>
          <w:tcPr>
            <w:tcW w:w="58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仿宋_GBK" w:cs="Times New Roman"/>
                <w:b w:val="0"/>
                <w:bCs w:val="0"/>
                <w:i w:val="0"/>
                <w:color w:val="000000"/>
                <w:sz w:val="28"/>
                <w:szCs w:val="28"/>
                <w:u w:val="none"/>
                <w:lang w:val="en-US" w:eastAsia="zh-CN"/>
              </w:rPr>
            </w:pPr>
            <w:r>
              <w:rPr>
                <w:rFonts w:hint="eastAsia" w:ascii="Times New Roman" w:hAnsi="Times New Roman" w:eastAsia="方正仿宋_GBK" w:cs="Times New Roman"/>
                <w:b w:val="0"/>
                <w:bCs w:val="0"/>
                <w:i w:val="0"/>
                <w:color w:val="000000"/>
                <w:sz w:val="28"/>
                <w:szCs w:val="28"/>
                <w:u w:val="none"/>
                <w:lang w:val="en-US" w:eastAsia="zh-CN"/>
              </w:rPr>
              <w:t>260</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385" w:hRule="exact"/>
          <w:jc w:val="center"/>
        </w:trPr>
        <w:tc>
          <w:tcPr>
            <w:tcW w:w="24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Times New Roman"/>
                <w:i w:val="0"/>
                <w:color w:val="000000"/>
                <w:sz w:val="28"/>
                <w:szCs w:val="28"/>
                <w:u w:val="none"/>
                <w:lang w:val="en-US" w:eastAsia="zh-CN"/>
              </w:rPr>
            </w:pPr>
            <w:r>
              <w:rPr>
                <w:rFonts w:hint="eastAsia" w:ascii="Times New Roman" w:hAnsi="Times New Roman" w:eastAsia="方正仿宋_GBK" w:cs="Times New Roman"/>
                <w:i w:val="0"/>
                <w:color w:val="000000"/>
                <w:sz w:val="28"/>
                <w:szCs w:val="28"/>
                <w:u w:val="none"/>
                <w:lang w:val="en-US" w:eastAsia="zh-CN"/>
              </w:rPr>
              <w:t>灵璧县</w:t>
            </w:r>
          </w:p>
        </w:tc>
        <w:tc>
          <w:tcPr>
            <w:tcW w:w="58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仿宋_GBK" w:cs="Times New Roman"/>
                <w:b w:val="0"/>
                <w:bCs w:val="0"/>
                <w:i w:val="0"/>
                <w:color w:val="000000"/>
                <w:sz w:val="28"/>
                <w:szCs w:val="28"/>
                <w:u w:val="none"/>
              </w:rPr>
            </w:pPr>
            <w:r>
              <w:rPr>
                <w:rFonts w:hint="eastAsia" w:ascii="Times New Roman" w:hAnsi="Times New Roman" w:eastAsia="方正仿宋_GBK" w:cs="Times New Roman"/>
                <w:b w:val="0"/>
                <w:bCs w:val="0"/>
                <w:i w:val="0"/>
                <w:color w:val="000000"/>
                <w:kern w:val="0"/>
                <w:sz w:val="28"/>
                <w:szCs w:val="28"/>
                <w:u w:val="none"/>
                <w:lang w:val="en-US" w:eastAsia="zh-CN" w:bidi="ar"/>
              </w:rPr>
              <w:t>260</w:t>
            </w:r>
            <w:r>
              <w:rPr>
                <w:rFonts w:hint="default" w:ascii="Times New Roman" w:hAnsi="Times New Roman" w:eastAsia="方正仿宋_GBK" w:cs="Times New Roman"/>
                <w:b w:val="0"/>
                <w:bCs w:val="0"/>
                <w:i w:val="0"/>
                <w:color w:val="000000"/>
                <w:kern w:val="0"/>
                <w:sz w:val="28"/>
                <w:szCs w:val="28"/>
                <w:u w:val="none"/>
                <w:lang w:val="en-US" w:eastAsia="zh-CN" w:bidi="ar"/>
              </w:rPr>
              <w:t xml:space="preserve"> </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1480" w:hRule="exact"/>
          <w:jc w:val="center"/>
        </w:trPr>
        <w:tc>
          <w:tcPr>
            <w:tcW w:w="24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Times New Roman" w:hAnsi="Times New Roman" w:eastAsia="方正仿宋_GBK" w:cs="Times New Roman"/>
                <w:i w:val="0"/>
                <w:color w:val="000000"/>
                <w:sz w:val="28"/>
                <w:szCs w:val="28"/>
                <w:u w:val="none"/>
                <w:lang w:val="en-US" w:eastAsia="zh-CN"/>
              </w:rPr>
            </w:pPr>
            <w:r>
              <w:rPr>
                <w:rFonts w:hint="eastAsia" w:ascii="Times New Roman" w:hAnsi="Times New Roman" w:eastAsia="方正仿宋_GBK" w:cs="Times New Roman"/>
                <w:i w:val="0"/>
                <w:color w:val="000000"/>
                <w:sz w:val="28"/>
                <w:szCs w:val="28"/>
                <w:u w:val="none"/>
                <w:lang w:val="en-US" w:eastAsia="zh-CN"/>
              </w:rPr>
              <w:t>泗县</w:t>
            </w:r>
          </w:p>
        </w:tc>
        <w:tc>
          <w:tcPr>
            <w:tcW w:w="586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仿宋_GBK" w:cs="Times New Roman"/>
                <w:b w:val="0"/>
                <w:bCs w:val="0"/>
                <w:i w:val="0"/>
                <w:color w:val="000000"/>
                <w:sz w:val="28"/>
                <w:szCs w:val="28"/>
                <w:u w:val="none"/>
                <w:lang w:val="en-US" w:eastAsia="zh-CN"/>
              </w:rPr>
            </w:pPr>
            <w:r>
              <w:rPr>
                <w:rFonts w:hint="eastAsia" w:ascii="Times New Roman" w:hAnsi="Times New Roman" w:eastAsia="方正仿宋_GBK" w:cs="Times New Roman"/>
                <w:b w:val="0"/>
                <w:bCs w:val="0"/>
                <w:i w:val="0"/>
                <w:color w:val="000000"/>
                <w:sz w:val="28"/>
                <w:szCs w:val="28"/>
                <w:u w:val="none"/>
                <w:lang w:val="en-US" w:eastAsia="zh-CN"/>
              </w:rPr>
              <w:t>218</w:t>
            </w:r>
          </w:p>
        </w:tc>
      </w:tr>
    </w:tbl>
    <w:p>
      <w:pPr>
        <w:pStyle w:val="2"/>
        <w:keepNext w:val="0"/>
        <w:keepLines w:val="0"/>
        <w:pageBreakBefore w:val="0"/>
        <w:kinsoku/>
        <w:wordWrap/>
        <w:overflowPunct/>
        <w:topLinePunct w:val="0"/>
        <w:autoSpaceDE/>
        <w:autoSpaceDN/>
        <w:bidi w:val="0"/>
        <w:adjustRightInd/>
        <w:snapToGrid/>
        <w:spacing w:line="600" w:lineRule="exact"/>
        <w:jc w:val="left"/>
        <w:rPr>
          <w:rFonts w:hint="eastAsia" w:ascii="仿宋_GB2312" w:hAnsi="仿宋_GB2312" w:eastAsia="仿宋_GB2312" w:cs="仿宋_GB2312"/>
          <w:color w:val="auto"/>
          <w:sz w:val="28"/>
          <w:szCs w:val="28"/>
          <w:u w:val="none"/>
          <w:lang w:val="en-US" w:eastAsia="zh-CN"/>
        </w:rPr>
        <w:sectPr>
          <w:footerReference r:id="rId3" w:type="default"/>
          <w:pgSz w:w="11906" w:h="16838"/>
          <w:pgMar w:top="1757" w:right="1417" w:bottom="1757" w:left="1417" w:header="851" w:footer="1417" w:gutter="0"/>
          <w:pgBorders>
            <w:top w:val="none" w:sz="0" w:space="0"/>
            <w:left w:val="none" w:sz="0" w:space="0"/>
            <w:bottom w:val="none" w:sz="0" w:space="0"/>
            <w:right w:val="none" w:sz="0" w:space="0"/>
          </w:pgBorders>
          <w:pgNumType w:fmt="numberInDash"/>
          <w:cols w:space="720" w:num="1"/>
          <w:rtlGutter w:val="0"/>
          <w:docGrid w:type="lines" w:linePitch="312" w:charSpace="0"/>
        </w:sectPr>
      </w:pPr>
    </w:p>
    <w:p>
      <w:pPr>
        <w:pStyle w:val="2"/>
        <w:rPr>
          <w:rFonts w:hint="default" w:ascii="Times New Roman" w:hAnsi="Times New Roman" w:eastAsia="方正黑体_GBK" w:cs="Times New Roman"/>
          <w:b w:val="0"/>
          <w:bCs w:val="0"/>
          <w:sz w:val="32"/>
          <w:szCs w:val="32"/>
          <w:lang w:val="en-US" w:eastAsia="zh-CN"/>
        </w:rPr>
      </w:pPr>
      <w:r>
        <w:rPr>
          <w:rFonts w:hint="default" w:ascii="Times New Roman" w:hAnsi="Times New Roman" w:eastAsia="方正黑体_GBK" w:cs="Times New Roman"/>
          <w:b w:val="0"/>
          <w:bCs w:val="0"/>
          <w:sz w:val="32"/>
          <w:szCs w:val="32"/>
          <w:lang w:val="en-US" w:eastAsia="zh-CN"/>
        </w:rPr>
        <w:t>附件2</w:t>
      </w:r>
    </w:p>
    <w:tbl>
      <w:tblPr>
        <w:tblStyle w:val="9"/>
        <w:tblW w:w="1423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464"/>
        <w:gridCol w:w="1455"/>
        <w:gridCol w:w="1283"/>
        <w:gridCol w:w="1442"/>
        <w:gridCol w:w="1290"/>
        <w:gridCol w:w="1365"/>
        <w:gridCol w:w="1380"/>
        <w:gridCol w:w="1590"/>
        <w:gridCol w:w="1515"/>
        <w:gridCol w:w="14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14235" w:type="dxa"/>
            <w:gridSpan w:val="10"/>
            <w:vMerge w:val="restart"/>
            <w:tcBorders>
              <w:top w:val="nil"/>
              <w:left w:val="nil"/>
              <w:bottom w:val="nil"/>
              <w:right w:val="nil"/>
            </w:tcBorders>
            <w:noWrap/>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color w:val="000000"/>
                <w:sz w:val="40"/>
                <w:szCs w:val="40"/>
                <w:u w:val="none"/>
              </w:rPr>
            </w:pPr>
            <w:r>
              <w:rPr>
                <w:rFonts w:hint="eastAsia" w:ascii="方正小标宋简体" w:hAnsi="方正小标宋简体" w:eastAsia="方正小标宋简体" w:cs="方正小标宋简体"/>
                <w:i w:val="0"/>
                <w:color w:val="000000"/>
                <w:kern w:val="0"/>
                <w:sz w:val="44"/>
                <w:szCs w:val="44"/>
                <w:u w:val="none"/>
                <w:lang w:val="en-US" w:eastAsia="zh-CN" w:bidi="ar"/>
              </w:rPr>
              <w:t>XX县区退役军人技能培训情况汇总表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4235" w:type="dxa"/>
            <w:gridSpan w:val="10"/>
            <w:vMerge w:val="continue"/>
            <w:tcBorders>
              <w:top w:val="nil"/>
              <w:left w:val="nil"/>
              <w:bottom w:val="nil"/>
              <w:right w:val="nil"/>
            </w:tcBorders>
            <w:noWrap/>
            <w:vAlign w:val="center"/>
          </w:tcPr>
          <w:p>
            <w:pPr>
              <w:jc w:val="center"/>
              <w:rPr>
                <w:rFonts w:hint="eastAsia" w:ascii="方正小标宋简体" w:hAnsi="方正小标宋简体" w:eastAsia="方正小标宋简体" w:cs="方正小标宋简体"/>
                <w:i w:val="0"/>
                <w:color w:val="000000"/>
                <w:sz w:val="40"/>
                <w:szCs w:val="4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4202" w:type="dxa"/>
            <w:gridSpan w:val="3"/>
            <w:tcBorders>
              <w:top w:val="nil"/>
              <w:left w:val="nil"/>
              <w:bottom w:val="single" w:color="000000" w:sz="8" w:space="0"/>
              <w:right w:val="nil"/>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楷体_GBK" w:hAnsi="方正楷体_GBK" w:eastAsia="方正楷体_GBK" w:cs="方正楷体_GBK"/>
                <w:b w:val="0"/>
                <w:bCs/>
                <w:i w:val="0"/>
                <w:color w:val="000000"/>
                <w:sz w:val="24"/>
                <w:szCs w:val="24"/>
                <w:u w:val="none"/>
              </w:rPr>
            </w:pPr>
            <w:r>
              <w:rPr>
                <w:rFonts w:hint="eastAsia" w:ascii="方正楷体_GBK" w:hAnsi="方正楷体_GBK" w:eastAsia="方正楷体_GBK" w:cs="方正楷体_GBK"/>
                <w:b w:val="0"/>
                <w:bCs/>
                <w:i w:val="0"/>
                <w:color w:val="000000"/>
                <w:kern w:val="0"/>
                <w:sz w:val="24"/>
                <w:szCs w:val="24"/>
                <w:u w:val="none"/>
                <w:lang w:val="en-US" w:eastAsia="zh-CN" w:bidi="ar"/>
              </w:rPr>
              <w:t>填报单位：</w:t>
            </w:r>
          </w:p>
        </w:tc>
        <w:tc>
          <w:tcPr>
            <w:tcW w:w="10033" w:type="dxa"/>
            <w:gridSpan w:val="7"/>
            <w:tcBorders>
              <w:top w:val="nil"/>
              <w:left w:val="nil"/>
              <w:bottom w:val="single" w:color="000000" w:sz="8" w:space="0"/>
              <w:right w:val="nil"/>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方正楷体_GBK" w:hAnsi="方正楷体_GBK" w:eastAsia="方正楷体_GBK" w:cs="方正楷体_GBK"/>
                <w:b w:val="0"/>
                <w:bCs/>
                <w:i w:val="0"/>
                <w:color w:val="000000"/>
                <w:sz w:val="24"/>
                <w:szCs w:val="24"/>
                <w:u w:val="none"/>
              </w:rPr>
            </w:pPr>
            <w:r>
              <w:rPr>
                <w:rFonts w:hint="eastAsia" w:ascii="方正楷体_GBK" w:hAnsi="方正楷体_GBK" w:eastAsia="方正楷体_GBK" w:cs="方正楷体_GBK"/>
                <w:b w:val="0"/>
                <w:bCs/>
                <w:i w:val="0"/>
                <w:color w:val="000000"/>
                <w:kern w:val="0"/>
                <w:sz w:val="24"/>
                <w:szCs w:val="24"/>
                <w:u w:val="none"/>
                <w:lang w:val="en-US" w:eastAsia="zh-CN" w:bidi="ar"/>
              </w:rPr>
              <w:t xml:space="preserve">                                                      填报时间：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1464" w:type="dxa"/>
            <w:tcBorders>
              <w:top w:val="single" w:color="000000" w:sz="8" w:space="0"/>
              <w:left w:val="single" w:color="000000" w:sz="8"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市（县、区）名称</w:t>
            </w:r>
          </w:p>
        </w:tc>
        <w:tc>
          <w:tcPr>
            <w:tcW w:w="1455" w:type="dxa"/>
            <w:tcBorders>
              <w:top w:val="single" w:color="000000" w:sz="8"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kern w:val="0"/>
                <w:sz w:val="24"/>
                <w:szCs w:val="24"/>
                <w:u w:val="none"/>
                <w:lang w:val="en-US" w:eastAsia="zh-CN" w:bidi="ar"/>
              </w:rPr>
            </w:pPr>
            <w:r>
              <w:rPr>
                <w:rFonts w:hint="default" w:ascii="Times New Roman" w:hAnsi="Times New Roman" w:eastAsia="方正黑体_GBK" w:cs="Times New Roman"/>
                <w:b w:val="0"/>
                <w:bCs/>
                <w:i w:val="0"/>
                <w:color w:val="000000"/>
                <w:kern w:val="0"/>
                <w:sz w:val="24"/>
                <w:szCs w:val="24"/>
                <w:u w:val="none"/>
                <w:lang w:val="en-US" w:eastAsia="zh-CN" w:bidi="ar"/>
              </w:rPr>
              <w:t>技能培训</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学校</w:t>
            </w:r>
          </w:p>
        </w:tc>
        <w:tc>
          <w:tcPr>
            <w:tcW w:w="1283" w:type="dxa"/>
            <w:tcBorders>
              <w:top w:val="single" w:color="000000" w:sz="8"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专业</w:t>
            </w:r>
          </w:p>
        </w:tc>
        <w:tc>
          <w:tcPr>
            <w:tcW w:w="1442" w:type="dxa"/>
            <w:tcBorders>
              <w:top w:val="single" w:color="000000" w:sz="8"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培训人数（人）</w:t>
            </w:r>
          </w:p>
        </w:tc>
        <w:tc>
          <w:tcPr>
            <w:tcW w:w="1290" w:type="dxa"/>
            <w:tcBorders>
              <w:top w:val="single" w:color="000000" w:sz="8"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kern w:val="0"/>
                <w:sz w:val="24"/>
                <w:szCs w:val="24"/>
                <w:u w:val="none"/>
                <w:lang w:val="en-US" w:eastAsia="zh-CN" w:bidi="ar"/>
              </w:rPr>
            </w:pPr>
            <w:r>
              <w:rPr>
                <w:rFonts w:hint="default" w:ascii="Times New Roman" w:hAnsi="Times New Roman" w:eastAsia="方正黑体_GBK" w:cs="Times New Roman"/>
                <w:b w:val="0"/>
                <w:bCs/>
                <w:i w:val="0"/>
                <w:color w:val="000000"/>
                <w:kern w:val="0"/>
                <w:sz w:val="24"/>
                <w:szCs w:val="24"/>
                <w:u w:val="none"/>
                <w:lang w:val="en-US" w:eastAsia="zh-CN" w:bidi="ar"/>
              </w:rPr>
              <w:t>完成率</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w:t>
            </w:r>
          </w:p>
        </w:tc>
        <w:tc>
          <w:tcPr>
            <w:tcW w:w="1365" w:type="dxa"/>
            <w:tcBorders>
              <w:top w:val="single" w:color="000000" w:sz="8"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培训合格人数（人）</w:t>
            </w:r>
          </w:p>
        </w:tc>
        <w:tc>
          <w:tcPr>
            <w:tcW w:w="1380" w:type="dxa"/>
            <w:tcBorders>
              <w:top w:val="single" w:color="000000" w:sz="8"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培训合格率（%）</w:t>
            </w:r>
          </w:p>
        </w:tc>
        <w:tc>
          <w:tcPr>
            <w:tcW w:w="1590" w:type="dxa"/>
            <w:tcBorders>
              <w:top w:val="single" w:color="000000" w:sz="8"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kern w:val="0"/>
                <w:sz w:val="24"/>
                <w:szCs w:val="24"/>
                <w:u w:val="none"/>
                <w:lang w:val="en-US" w:eastAsia="zh-CN" w:bidi="ar"/>
              </w:rPr>
            </w:pPr>
            <w:r>
              <w:rPr>
                <w:rFonts w:hint="default" w:ascii="Times New Roman" w:hAnsi="Times New Roman" w:eastAsia="方正黑体_GBK" w:cs="Times New Roman"/>
                <w:b w:val="0"/>
                <w:bCs/>
                <w:i w:val="0"/>
                <w:color w:val="000000"/>
                <w:kern w:val="0"/>
                <w:sz w:val="24"/>
                <w:szCs w:val="24"/>
                <w:u w:val="none"/>
                <w:lang w:val="en-US" w:eastAsia="zh-CN" w:bidi="ar"/>
              </w:rPr>
              <w:t>已使用的技能培训经费</w:t>
            </w:r>
          </w:p>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（万元）</w:t>
            </w:r>
          </w:p>
        </w:tc>
        <w:tc>
          <w:tcPr>
            <w:tcW w:w="1515" w:type="dxa"/>
            <w:tcBorders>
              <w:top w:val="single" w:color="000000" w:sz="8"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职业资格证书获得人数（人）</w:t>
            </w:r>
          </w:p>
        </w:tc>
        <w:tc>
          <w:tcPr>
            <w:tcW w:w="1451" w:type="dxa"/>
            <w:tcBorders>
              <w:top w:val="single" w:color="000000" w:sz="8" w:space="0"/>
              <w:left w:val="single" w:color="000000" w:sz="4" w:space="0"/>
              <w:bottom w:val="single" w:color="000000" w:sz="4"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黑体_GBK" w:cs="Times New Roman"/>
                <w:b w:val="0"/>
                <w:bCs/>
                <w:i w:val="0"/>
                <w:color w:val="000000"/>
                <w:sz w:val="24"/>
                <w:szCs w:val="24"/>
                <w:u w:val="none"/>
              </w:rPr>
            </w:pPr>
            <w:r>
              <w:rPr>
                <w:rFonts w:hint="default" w:ascii="Times New Roman" w:hAnsi="Times New Roman" w:eastAsia="方正黑体_GBK" w:cs="Times New Roman"/>
                <w:b w:val="0"/>
                <w:bCs/>
                <w:i w:val="0"/>
                <w:color w:val="000000"/>
                <w:kern w:val="0"/>
                <w:sz w:val="24"/>
                <w:szCs w:val="24"/>
                <w:u w:val="none"/>
                <w:lang w:val="en-US" w:eastAsia="zh-CN" w:bidi="ar"/>
              </w:rPr>
              <w:t>培训后就业人数（人）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464" w:type="dxa"/>
            <w:tcBorders>
              <w:top w:val="single" w:color="000000" w:sz="4" w:space="0"/>
              <w:left w:val="single" w:color="000000" w:sz="8"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仿宋_GBK" w:cs="Times New Roman"/>
                <w:b w:val="0"/>
                <w:bCs/>
                <w:i w:val="0"/>
                <w:color w:val="000000"/>
                <w:sz w:val="24"/>
                <w:szCs w:val="24"/>
                <w:u w:val="none"/>
              </w:rPr>
            </w:pPr>
            <w:r>
              <w:rPr>
                <w:rFonts w:hint="default" w:ascii="Times New Roman" w:hAnsi="Times New Roman" w:eastAsia="方正仿宋_GBK" w:cs="Times New Roman"/>
                <w:b w:val="0"/>
                <w:bCs/>
                <w:i w:val="0"/>
                <w:color w:val="000000"/>
                <w:kern w:val="0"/>
                <w:sz w:val="24"/>
                <w:szCs w:val="24"/>
                <w:u w:val="none"/>
                <w:lang w:val="en-US" w:eastAsia="zh-CN" w:bidi="ar"/>
              </w:rPr>
              <w:t>全市总计</w:t>
            </w:r>
          </w:p>
        </w:tc>
        <w:tc>
          <w:tcPr>
            <w:tcW w:w="1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2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5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c>
          <w:tcPr>
            <w:tcW w:w="15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c>
          <w:tcPr>
            <w:tcW w:w="1451" w:type="dxa"/>
            <w:tcBorders>
              <w:top w:val="single" w:color="000000" w:sz="4" w:space="0"/>
              <w:left w:val="single" w:color="000000" w:sz="4" w:space="0"/>
              <w:bottom w:val="single" w:color="000000" w:sz="4" w:space="0"/>
              <w:right w:val="single" w:color="000000" w:sz="8"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464" w:type="dxa"/>
            <w:vMerge w:val="restart"/>
            <w:tcBorders>
              <w:top w:val="single" w:color="000000" w:sz="4" w:space="0"/>
              <w:left w:val="single" w:color="000000" w:sz="8"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default" w:ascii="Times New Roman" w:hAnsi="Times New Roman" w:eastAsia="方正仿宋_GBK" w:cs="Times New Roman"/>
                <w:b w:val="0"/>
                <w:bCs/>
                <w:i w:val="0"/>
                <w:color w:val="000000"/>
                <w:sz w:val="24"/>
                <w:szCs w:val="24"/>
                <w:u w:val="none"/>
              </w:rPr>
            </w:pPr>
            <w:r>
              <w:rPr>
                <w:rFonts w:hint="eastAsia" w:ascii="Times New Roman" w:hAnsi="Times New Roman" w:eastAsia="方正仿宋_GBK" w:cs="Times New Roman"/>
                <w:b w:val="0"/>
                <w:bCs/>
                <w:i w:val="0"/>
                <w:color w:val="000000"/>
                <w:kern w:val="0"/>
                <w:sz w:val="24"/>
                <w:szCs w:val="24"/>
                <w:u w:val="none"/>
                <w:lang w:val="en-US" w:eastAsia="zh-CN" w:bidi="ar"/>
              </w:rPr>
              <w:t>xx</w:t>
            </w:r>
            <w:r>
              <w:rPr>
                <w:rFonts w:hint="default" w:ascii="Times New Roman" w:hAnsi="Times New Roman" w:eastAsia="方正仿宋_GBK" w:cs="Times New Roman"/>
                <w:b w:val="0"/>
                <w:bCs/>
                <w:i w:val="0"/>
                <w:color w:val="000000"/>
                <w:kern w:val="0"/>
                <w:sz w:val="24"/>
                <w:szCs w:val="24"/>
                <w:u w:val="none"/>
                <w:lang w:val="en-US" w:eastAsia="zh-CN" w:bidi="ar"/>
              </w:rPr>
              <w:t>县（区）</w:t>
            </w:r>
          </w:p>
        </w:tc>
        <w:tc>
          <w:tcPr>
            <w:tcW w:w="1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2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5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c>
          <w:tcPr>
            <w:tcW w:w="15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c>
          <w:tcPr>
            <w:tcW w:w="1451" w:type="dxa"/>
            <w:tcBorders>
              <w:top w:val="single" w:color="000000" w:sz="4" w:space="0"/>
              <w:left w:val="single" w:color="000000" w:sz="4" w:space="0"/>
              <w:bottom w:val="single" w:color="000000" w:sz="4" w:space="0"/>
              <w:right w:val="single" w:color="000000" w:sz="8"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464" w:type="dxa"/>
            <w:vMerge w:val="continue"/>
            <w:tcBorders>
              <w:top w:val="single" w:color="000000" w:sz="4" w:space="0"/>
              <w:left w:val="single" w:color="000000" w:sz="8"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2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5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c>
          <w:tcPr>
            <w:tcW w:w="15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c>
          <w:tcPr>
            <w:tcW w:w="1451" w:type="dxa"/>
            <w:tcBorders>
              <w:top w:val="single" w:color="000000" w:sz="4" w:space="0"/>
              <w:left w:val="single" w:color="000000" w:sz="4" w:space="0"/>
              <w:bottom w:val="single" w:color="000000" w:sz="4" w:space="0"/>
              <w:right w:val="single" w:color="000000" w:sz="8"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464" w:type="dxa"/>
            <w:vMerge w:val="continue"/>
            <w:tcBorders>
              <w:top w:val="single" w:color="000000" w:sz="4" w:space="0"/>
              <w:left w:val="single" w:color="000000" w:sz="8"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45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28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44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29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38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default" w:ascii="Times New Roman" w:hAnsi="Times New Roman" w:eastAsia="方正仿宋_GBK" w:cs="Times New Roman"/>
                <w:b w:val="0"/>
                <w:bCs/>
                <w:i w:val="0"/>
                <w:color w:val="000000"/>
                <w:sz w:val="24"/>
                <w:szCs w:val="24"/>
                <w:u w:val="none"/>
              </w:rPr>
            </w:pPr>
          </w:p>
        </w:tc>
        <w:tc>
          <w:tcPr>
            <w:tcW w:w="159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c>
          <w:tcPr>
            <w:tcW w:w="151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c>
          <w:tcPr>
            <w:tcW w:w="1451" w:type="dxa"/>
            <w:tcBorders>
              <w:top w:val="single" w:color="000000" w:sz="4" w:space="0"/>
              <w:left w:val="single" w:color="000000" w:sz="4" w:space="0"/>
              <w:bottom w:val="single" w:color="000000" w:sz="4" w:space="0"/>
              <w:right w:val="single" w:color="000000" w:sz="8" w:space="0"/>
            </w:tcBorders>
            <w:noWrap/>
            <w:vAlign w:val="center"/>
          </w:tcPr>
          <w:p>
            <w:pPr>
              <w:keepNext w:val="0"/>
              <w:keepLines w:val="0"/>
              <w:pageBreakBefore w:val="0"/>
              <w:kinsoku/>
              <w:wordWrap/>
              <w:overflowPunct/>
              <w:topLinePunct w:val="0"/>
              <w:autoSpaceDE/>
              <w:autoSpaceDN/>
              <w:bidi w:val="0"/>
              <w:adjustRightInd/>
              <w:snapToGrid/>
              <w:spacing w:line="400" w:lineRule="exact"/>
              <w:rPr>
                <w:rFonts w:hint="default" w:ascii="Times New Roman" w:hAnsi="Times New Roman" w:eastAsia="方正仿宋_GBK" w:cs="Times New Roman"/>
                <w:b w:val="0"/>
                <w:bCs/>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05" w:hRule="atLeast"/>
        </w:trPr>
        <w:tc>
          <w:tcPr>
            <w:tcW w:w="14235" w:type="dxa"/>
            <w:gridSpan w:val="10"/>
            <w:tcBorders>
              <w:top w:val="single" w:color="000000" w:sz="4" w:space="0"/>
              <w:left w:val="single" w:color="000000" w:sz="8" w:space="0"/>
              <w:bottom w:val="single" w:color="000000" w:sz="8" w:space="0"/>
              <w:right w:val="single" w:color="000000" w:sz="8" w:space="0"/>
            </w:tcBorders>
            <w:noWrap w:val="0"/>
            <w:vAlign w:val="center"/>
          </w:tcPr>
          <w:p>
            <w:pPr>
              <w:keepNext w:val="0"/>
              <w:keepLines w:val="0"/>
              <w:pageBreakBefore w:val="0"/>
              <w:widowControl/>
              <w:numPr>
                <w:ilvl w:val="0"/>
                <w:numId w:val="1"/>
              </w:numPr>
              <w:suppressLineNumbers w:val="0"/>
              <w:kinsoku/>
              <w:wordWrap/>
              <w:overflowPunct/>
              <w:topLinePunct w:val="0"/>
              <w:autoSpaceDE/>
              <w:autoSpaceDN/>
              <w:bidi w:val="0"/>
              <w:adjustRightInd/>
              <w:snapToGrid/>
              <w:spacing w:line="360" w:lineRule="exact"/>
              <w:jc w:val="left"/>
              <w:textAlignment w:val="center"/>
              <w:rPr>
                <w:rFonts w:hint="default" w:ascii="Times New Roman" w:hAnsi="Times New Roman" w:eastAsia="方正仿宋_GBK" w:cs="Times New Roman"/>
                <w:b w:val="0"/>
                <w:bCs/>
                <w:i w:val="0"/>
                <w:color w:val="000000"/>
                <w:kern w:val="0"/>
                <w:sz w:val="24"/>
                <w:szCs w:val="24"/>
                <w:u w:val="none"/>
                <w:lang w:val="en-US" w:eastAsia="zh-CN" w:bidi="ar"/>
              </w:rPr>
            </w:pPr>
            <w:r>
              <w:rPr>
                <w:rFonts w:hint="default" w:ascii="Times New Roman" w:hAnsi="Times New Roman" w:eastAsia="方正仿宋_GBK" w:cs="Times New Roman"/>
                <w:b w:val="0"/>
                <w:bCs/>
                <w:i w:val="0"/>
                <w:color w:val="000000"/>
                <w:kern w:val="0"/>
                <w:sz w:val="24"/>
                <w:szCs w:val="24"/>
                <w:u w:val="none"/>
                <w:lang w:val="en-US" w:eastAsia="zh-CN" w:bidi="ar"/>
              </w:rPr>
              <w:t>承训学校可视实际情况增减，专业填报该校参加培训人数最多的前3个专业，其余人员归入其他专业内。</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exact"/>
              <w:jc w:val="left"/>
              <w:textAlignment w:val="center"/>
              <w:rPr>
                <w:rFonts w:hint="default" w:ascii="Times New Roman" w:hAnsi="Times New Roman" w:eastAsia="方正仿宋_GBK" w:cs="Times New Roman"/>
                <w:b w:val="0"/>
                <w:bCs/>
                <w:i w:val="0"/>
                <w:color w:val="000000"/>
                <w:kern w:val="0"/>
                <w:sz w:val="24"/>
                <w:szCs w:val="24"/>
                <w:u w:val="none"/>
                <w:lang w:val="en-US" w:eastAsia="zh-CN" w:bidi="ar"/>
              </w:rPr>
            </w:pPr>
            <w:r>
              <w:rPr>
                <w:rFonts w:hint="default" w:ascii="Times New Roman" w:hAnsi="Times New Roman" w:eastAsia="方正仿宋_GBK" w:cs="Times New Roman"/>
                <w:b w:val="0"/>
                <w:bCs/>
                <w:i w:val="0"/>
                <w:color w:val="000000"/>
                <w:kern w:val="0"/>
                <w:sz w:val="24"/>
                <w:szCs w:val="24"/>
                <w:u w:val="none"/>
                <w:lang w:val="en-US" w:eastAsia="zh-CN" w:bidi="ar"/>
              </w:rPr>
              <w:t>二、已使用的技能培训经费是指承训学校对退役士兵进行某项专业培训时，实际支出的学杂费、住宿费、实习费、技能鉴定费、生活补助费。</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exact"/>
              <w:jc w:val="left"/>
              <w:textAlignment w:val="center"/>
              <w:rPr>
                <w:rFonts w:hint="default" w:ascii="Times New Roman" w:hAnsi="Times New Roman" w:eastAsia="方正仿宋_GBK" w:cs="Times New Roman"/>
                <w:b w:val="0"/>
                <w:bCs/>
                <w:i w:val="0"/>
                <w:color w:val="000000"/>
                <w:sz w:val="24"/>
                <w:szCs w:val="24"/>
                <w:u w:val="none"/>
              </w:rPr>
            </w:pPr>
            <w:r>
              <w:rPr>
                <w:rFonts w:hint="eastAsia" w:ascii="Times New Roman" w:hAnsi="Times New Roman" w:eastAsia="方正仿宋_GBK" w:cs="Times New Roman"/>
                <w:b w:val="0"/>
                <w:bCs/>
                <w:i w:val="0"/>
                <w:color w:val="000000"/>
                <w:kern w:val="0"/>
                <w:sz w:val="24"/>
                <w:szCs w:val="24"/>
                <w:u w:val="none"/>
                <w:lang w:val="en-US" w:eastAsia="zh-CN" w:bidi="ar"/>
              </w:rPr>
              <w:t>三</w:t>
            </w:r>
            <w:r>
              <w:rPr>
                <w:rFonts w:hint="default" w:ascii="Times New Roman" w:hAnsi="Times New Roman" w:eastAsia="方正仿宋_GBK" w:cs="Times New Roman"/>
                <w:b w:val="0"/>
                <w:bCs/>
                <w:i w:val="0"/>
                <w:color w:val="000000"/>
                <w:kern w:val="0"/>
                <w:sz w:val="24"/>
                <w:szCs w:val="24"/>
                <w:u w:val="none"/>
                <w:lang w:val="en-US" w:eastAsia="zh-CN" w:bidi="ar"/>
              </w:rPr>
              <w:t>、培训人数为在训人数与合格人数之和。</w:t>
            </w:r>
          </w:p>
        </w:tc>
      </w:tr>
    </w:tbl>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bookmarkStart w:id="0" w:name="_GoBack"/>
      <w:bookmarkEnd w:id="0"/>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p>
    <w:p>
      <w:pPr>
        <w:pStyle w:val="2"/>
        <w:rPr>
          <w:rFonts w:ascii="仿宋_GB2312" w:eastAsia="仿宋_GB2312" w:cs="Times New Roman"/>
          <w:b w:val="0"/>
          <w:bCs w:val="0"/>
          <w:color w:val="auto"/>
          <w:sz w:val="32"/>
          <w:szCs w:val="32"/>
        </w:rPr>
      </w:pPr>
      <w:r>
        <w:rPr>
          <w:sz w:val="32"/>
        </w:rPr>
        <mc:AlternateContent>
          <mc:Choice Requires="wps">
            <w:drawing>
              <wp:anchor distT="0" distB="0" distL="114300" distR="114300" simplePos="0" relativeHeight="251659264" behindDoc="0" locked="0" layoutInCell="1" allowOverlap="1">
                <wp:simplePos x="0" y="0"/>
                <wp:positionH relativeFrom="column">
                  <wp:posOffset>-100965</wp:posOffset>
                </wp:positionH>
                <wp:positionV relativeFrom="paragraph">
                  <wp:posOffset>333375</wp:posOffset>
                </wp:positionV>
                <wp:extent cx="6019800" cy="28575"/>
                <wp:effectExtent l="0" t="4445" r="0" b="5080"/>
                <wp:wrapNone/>
                <wp:docPr id="9" name="直接连接符 9"/>
                <wp:cNvGraphicFramePr/>
                <a:graphic xmlns:a="http://schemas.openxmlformats.org/drawingml/2006/main">
                  <a:graphicData uri="http://schemas.microsoft.com/office/word/2010/wordprocessingShape">
                    <wps:wsp>
                      <wps:cNvCnPr/>
                      <wps:spPr>
                        <a:xfrm>
                          <a:off x="1051560" y="6748780"/>
                          <a:ext cx="6019800" cy="285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7.95pt;margin-top:26.25pt;height:2.25pt;width:474pt;z-index:251659264;mso-width-relative:page;mso-height-relative:page;" filled="f" stroked="t" coordsize="21600,21600" o:gfxdata="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AfX1cf&#10;2AAAAAkBAAAPAAAAAAAAAAEAIAAAACIAAABkcnMvZG93bnJldi54bWxQSwECFAAUAAAACACHTuJA&#10;vc77j+gBAACqAwAADgAAAAAAAAABACAAAAAnAQAAZHJzL2Uyb0RvYy54bWxQSwUGAAAAAAYABgBZ&#10;AQAAgQUAAAAA&#10;">
                <v:fill on="f" focussize="0,0"/>
                <v:stroke color="#000000 [3213]" joinstyle="round"/>
                <v:imagedata o:title=""/>
                <o:lock v:ext="edit" aspectratio="f"/>
              </v:line>
            </w:pict>
          </mc:Fallback>
        </mc:AlternateContent>
      </w:r>
    </w:p>
    <w:p>
      <w:pPr>
        <w:bidi w:val="0"/>
        <w:rPr>
          <w:sz w:val="20"/>
        </w:rPr>
      </w:pPr>
      <w:r>
        <w:rPr>
          <w:sz w:val="20"/>
        </w:rPr>
        <mc:AlternateContent>
          <mc:Choice Requires="wps">
            <w:drawing>
              <wp:anchor distT="0" distB="0" distL="114300" distR="114300" simplePos="0" relativeHeight="251660288" behindDoc="0" locked="0" layoutInCell="1" allowOverlap="1">
                <wp:simplePos x="0" y="0"/>
                <wp:positionH relativeFrom="column">
                  <wp:posOffset>-72390</wp:posOffset>
                </wp:positionH>
                <wp:positionV relativeFrom="paragraph">
                  <wp:posOffset>367030</wp:posOffset>
                </wp:positionV>
                <wp:extent cx="5981700" cy="0"/>
                <wp:effectExtent l="0" t="0" r="0" b="0"/>
                <wp:wrapNone/>
                <wp:docPr id="10" name="直接连接符 10"/>
                <wp:cNvGraphicFramePr/>
                <a:graphic xmlns:a="http://schemas.openxmlformats.org/drawingml/2006/main">
                  <a:graphicData uri="http://schemas.microsoft.com/office/word/2010/wordprocessingShape">
                    <wps:wsp>
                      <wps:cNvCnPr/>
                      <wps:spPr>
                        <a:xfrm>
                          <a:off x="1042035" y="7367905"/>
                          <a:ext cx="59817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5.7pt;margin-top:28.9pt;height:0pt;width:471pt;z-index:251660288;mso-width-relative:page;mso-height-relative:page;" filled="f" stroked="t" coordsize="21600,21600" o:gfxdata="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iNRgf1gAA&#10;AAkBAAAPAAAAAAAAAAEAIAAAACIAAABkcnMvZG93bnJldi54bWxQSwECFAAUAAAACACHTuJAMOS9&#10;kOcBAACoAwAADgAAAAAAAAABACAAAAAlAQAAZHJzL2Uyb0RvYy54bWxQSwUGAAAAAAYABgBZAQAA&#10;fgUAAAAA&#10;">
                <v:fill on="f" focussize="0,0"/>
                <v:stroke color="#000000 [3213]" joinstyle="round"/>
                <v:imagedata o:title=""/>
                <o:lock v:ext="edit" aspectratio="f"/>
              </v:line>
            </w:pict>
          </mc:Fallback>
        </mc:AlternateContent>
      </w:r>
      <w:r>
        <w:rPr>
          <w:rFonts w:hint="eastAsia" w:ascii="仿宋_GB2312" w:hAnsi="Calibri" w:eastAsia="仿宋_GB2312" w:cs="仿宋_GB2312"/>
          <w:kern w:val="2"/>
          <w:sz w:val="28"/>
          <w:szCs w:val="28"/>
          <w:lang w:val="en-US" w:eastAsia="zh-CN" w:bidi="ar-SA"/>
        </w:rPr>
        <w:t>抄送：市财政局、市人力资源和社会保障局</w:t>
      </w:r>
    </w:p>
    <w:p>
      <w:pPr>
        <w:bidi w:val="0"/>
        <w:rPr>
          <w:rFonts w:hint="eastAsia" w:eastAsia="宋体"/>
          <w:lang w:val="en-US" w:eastAsia="zh-CN"/>
        </w:rPr>
      </w:pPr>
      <w:r>
        <w:rPr>
          <w:sz w:val="21"/>
        </w:rPr>
        <mc:AlternateContent>
          <mc:Choice Requires="wps">
            <w:drawing>
              <wp:anchor distT="0" distB="0" distL="114300" distR="114300" simplePos="0" relativeHeight="251661312" behindDoc="0" locked="0" layoutInCell="1" allowOverlap="1">
                <wp:simplePos x="0" y="0"/>
                <wp:positionH relativeFrom="column">
                  <wp:posOffset>-53340</wp:posOffset>
                </wp:positionH>
                <wp:positionV relativeFrom="paragraph">
                  <wp:posOffset>379095</wp:posOffset>
                </wp:positionV>
                <wp:extent cx="5943600" cy="3175"/>
                <wp:effectExtent l="0" t="0" r="0" b="0"/>
                <wp:wrapNone/>
                <wp:docPr id="11" name="直接连接符 11"/>
                <wp:cNvGraphicFramePr/>
                <a:graphic xmlns:a="http://schemas.openxmlformats.org/drawingml/2006/main">
                  <a:graphicData uri="http://schemas.microsoft.com/office/word/2010/wordprocessingShape">
                    <wps:wsp>
                      <wps:cNvCnPr/>
                      <wps:spPr>
                        <a:xfrm>
                          <a:off x="1022985" y="7948930"/>
                          <a:ext cx="5943600" cy="31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4.2pt;margin-top:29.85pt;height:0.25pt;width:468pt;z-index:251661312;mso-width-relative:page;mso-height-relative:page;" filled="f" stroked="t" coordsize="21600,21600" o:gfxdata="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ACJ&#10;T1TYAAAACAEAAA8AAAAAAAAAAQAgAAAAIgAAAGRycy9kb3ducmV2LnhtbFBLAQIUABQAAAAIAIdO&#10;4kCSeWAm6gEAAKsDAAAOAAAAAAAAAAEAIAAAACcBAABkcnMvZTJvRG9jLnhtbFBLBQYAAAAABgAG&#10;AFkBAACDBQAAAAA=&#10;">
                <v:fill on="f" focussize="0,0"/>
                <v:stroke color="#000000 [3213]" joinstyle="round"/>
                <v:imagedata o:title=""/>
                <o:lock v:ext="edit" aspectratio="f"/>
              </v:line>
            </w:pict>
          </mc:Fallback>
        </mc:AlternateContent>
      </w:r>
      <w:r>
        <w:rPr>
          <w:rFonts w:hint="eastAsia" w:ascii="仿宋_GB2312" w:hAnsi="Calibri" w:eastAsia="仿宋_GB2312" w:cs="仿宋_GB2312"/>
          <w:kern w:val="2"/>
          <w:sz w:val="28"/>
          <w:szCs w:val="28"/>
          <w:lang w:val="en-US" w:eastAsia="zh-CN" w:bidi="ar-SA"/>
        </w:rPr>
        <w:t>宿州市退役军人事务局办公室             2022年5月10日印发</w:t>
      </w:r>
    </w:p>
    <w:sectPr>
      <w:footerReference r:id="rId4"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方正仿宋_GBK">
    <w:altName w:val="微软雅黑"/>
    <w:panose1 w:val="02000000000000000000"/>
    <w:charset w:val="86"/>
    <w:family w:val="auto"/>
    <w:pitch w:val="default"/>
    <w:sig w:usb0="00000000" w:usb1="00000000" w:usb2="00000000" w:usb3="00000000" w:csb0="00040000" w:csb1="00000000"/>
  </w:font>
  <w:font w:name="方正黑体_GBK">
    <w:altName w:val="微软雅黑"/>
    <w:panose1 w:val="02000000000000000000"/>
    <w:charset w:val="86"/>
    <w:family w:val="auto"/>
    <w:pitch w:val="default"/>
    <w:sig w:usb0="00000000" w:usb1="00000000" w:usb2="00000000" w:usb3="00000000" w:csb0="00040000" w:csb1="00000000"/>
  </w:font>
  <w:font w:name="方正楷体_GBK">
    <w:altName w:val="微软雅黑"/>
    <w:panose1 w:val="02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ascii="宋体" w:hAnsi="宋体" w:eastAsia="宋体" w:cs="宋体"/>
                              <w:sz w:val="28"/>
                              <w:szCs w:val="28"/>
                              <w:lang w:val="en-US"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6"/>
                      <w:rPr>
                        <w:rFonts w:hint="eastAsia" w:ascii="宋体" w:hAnsi="宋体" w:eastAsia="宋体" w:cs="宋体"/>
                        <w:sz w:val="28"/>
                        <w:szCs w:val="28"/>
                        <w:lang w:val="en-US"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val="en-US"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shape id="_x0000_s4097" o:spid="_x0000_s4097" o:spt="202" type="#_x0000_t202" style="position:absolute;left:0pt;margin-top:0pt;height:144pt;width:144pt;mso-position-horizontal:right;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6"/>
                  <w:rPr>
                    <w:sz w:val="28"/>
                    <w:szCs w:val="28"/>
                  </w:rPr>
                </w:pP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2</w:t>
                </w:r>
                <w:r>
                  <w:rPr>
                    <w:rFonts w:hint="eastAsia"/>
                    <w:sz w:val="28"/>
                    <w:szCs w:val="2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C7EA9A8"/>
    <w:multiLevelType w:val="singleLevel"/>
    <w:tmpl w:val="FC7EA9A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VerticalSpacing w:val="156"/>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19D2"/>
    <w:rsid w:val="0009540F"/>
    <w:rsid w:val="001F0337"/>
    <w:rsid w:val="00217D61"/>
    <w:rsid w:val="00273836"/>
    <w:rsid w:val="002D3E2E"/>
    <w:rsid w:val="002F22F9"/>
    <w:rsid w:val="00341BDD"/>
    <w:rsid w:val="003832C1"/>
    <w:rsid w:val="0049645B"/>
    <w:rsid w:val="004A418E"/>
    <w:rsid w:val="004E24F6"/>
    <w:rsid w:val="00562518"/>
    <w:rsid w:val="00567E94"/>
    <w:rsid w:val="006015E4"/>
    <w:rsid w:val="00604E94"/>
    <w:rsid w:val="00670C18"/>
    <w:rsid w:val="006D5B79"/>
    <w:rsid w:val="007B1CBA"/>
    <w:rsid w:val="007B4490"/>
    <w:rsid w:val="009C4A40"/>
    <w:rsid w:val="009F1798"/>
    <w:rsid w:val="00B613F7"/>
    <w:rsid w:val="00B7084D"/>
    <w:rsid w:val="00BB6F0D"/>
    <w:rsid w:val="00BF19D2"/>
    <w:rsid w:val="00C7535C"/>
    <w:rsid w:val="00D01E3A"/>
    <w:rsid w:val="00D70EF5"/>
    <w:rsid w:val="00D93517"/>
    <w:rsid w:val="00D938BD"/>
    <w:rsid w:val="00DC62BA"/>
    <w:rsid w:val="00E116F9"/>
    <w:rsid w:val="00E32DD7"/>
    <w:rsid w:val="00E503E5"/>
    <w:rsid w:val="00E6666F"/>
    <w:rsid w:val="00E9036B"/>
    <w:rsid w:val="00ED41AC"/>
    <w:rsid w:val="00EF4F75"/>
    <w:rsid w:val="00F342F9"/>
    <w:rsid w:val="00F824B8"/>
    <w:rsid w:val="00FA05DA"/>
    <w:rsid w:val="026F37D5"/>
    <w:rsid w:val="02F66297"/>
    <w:rsid w:val="03AE5616"/>
    <w:rsid w:val="06060DF2"/>
    <w:rsid w:val="08D35D9A"/>
    <w:rsid w:val="09AD7C58"/>
    <w:rsid w:val="0D6F7EC7"/>
    <w:rsid w:val="0DFF2F38"/>
    <w:rsid w:val="0EE15026"/>
    <w:rsid w:val="0F331F7D"/>
    <w:rsid w:val="107363DF"/>
    <w:rsid w:val="141D4215"/>
    <w:rsid w:val="14DB3380"/>
    <w:rsid w:val="155A7CFE"/>
    <w:rsid w:val="15CB6B23"/>
    <w:rsid w:val="174B4B54"/>
    <w:rsid w:val="19692292"/>
    <w:rsid w:val="1ADD7445"/>
    <w:rsid w:val="1BC36628"/>
    <w:rsid w:val="1C3B1CC3"/>
    <w:rsid w:val="1CD5347E"/>
    <w:rsid w:val="1E1A4851"/>
    <w:rsid w:val="2023726A"/>
    <w:rsid w:val="20335F2D"/>
    <w:rsid w:val="23111A53"/>
    <w:rsid w:val="26B03221"/>
    <w:rsid w:val="28892E10"/>
    <w:rsid w:val="28F83C93"/>
    <w:rsid w:val="29CA075D"/>
    <w:rsid w:val="2A8E167C"/>
    <w:rsid w:val="2B522670"/>
    <w:rsid w:val="2BD16805"/>
    <w:rsid w:val="2CD30D41"/>
    <w:rsid w:val="2CE41C75"/>
    <w:rsid w:val="303A7D26"/>
    <w:rsid w:val="30B25A2C"/>
    <w:rsid w:val="30FF7A21"/>
    <w:rsid w:val="31FB3EB6"/>
    <w:rsid w:val="357F34BF"/>
    <w:rsid w:val="35AA1DB0"/>
    <w:rsid w:val="368F2134"/>
    <w:rsid w:val="36E11707"/>
    <w:rsid w:val="3B354656"/>
    <w:rsid w:val="3C4F19F0"/>
    <w:rsid w:val="3DB11206"/>
    <w:rsid w:val="3E497153"/>
    <w:rsid w:val="3EE046CB"/>
    <w:rsid w:val="40732266"/>
    <w:rsid w:val="415067C5"/>
    <w:rsid w:val="42996072"/>
    <w:rsid w:val="444F4EE3"/>
    <w:rsid w:val="45DC4DAF"/>
    <w:rsid w:val="46795196"/>
    <w:rsid w:val="472A310C"/>
    <w:rsid w:val="4ADE4169"/>
    <w:rsid w:val="4B217EB3"/>
    <w:rsid w:val="4C4D0889"/>
    <w:rsid w:val="4DA671DD"/>
    <w:rsid w:val="4EF62012"/>
    <w:rsid w:val="4FA67D47"/>
    <w:rsid w:val="50D54C5F"/>
    <w:rsid w:val="517D7F11"/>
    <w:rsid w:val="52B2015D"/>
    <w:rsid w:val="53017048"/>
    <w:rsid w:val="53890846"/>
    <w:rsid w:val="53BC720C"/>
    <w:rsid w:val="55F11780"/>
    <w:rsid w:val="56BF0DA1"/>
    <w:rsid w:val="575C12BA"/>
    <w:rsid w:val="59F97A26"/>
    <w:rsid w:val="5B412919"/>
    <w:rsid w:val="5CE66C1E"/>
    <w:rsid w:val="5E51153F"/>
    <w:rsid w:val="60061698"/>
    <w:rsid w:val="615B071F"/>
    <w:rsid w:val="62041586"/>
    <w:rsid w:val="62CF30BE"/>
    <w:rsid w:val="63FB7155"/>
    <w:rsid w:val="64BF25D2"/>
    <w:rsid w:val="67D257DF"/>
    <w:rsid w:val="67E92BC3"/>
    <w:rsid w:val="681406E6"/>
    <w:rsid w:val="687F4D27"/>
    <w:rsid w:val="69B32E1A"/>
    <w:rsid w:val="6AFD2B1E"/>
    <w:rsid w:val="6B7D1B5C"/>
    <w:rsid w:val="6D420463"/>
    <w:rsid w:val="6EA700F0"/>
    <w:rsid w:val="706C622E"/>
    <w:rsid w:val="7156080D"/>
    <w:rsid w:val="71591811"/>
    <w:rsid w:val="71F001ED"/>
    <w:rsid w:val="72EB2D52"/>
    <w:rsid w:val="7368466F"/>
    <w:rsid w:val="73E21D67"/>
    <w:rsid w:val="74107E92"/>
    <w:rsid w:val="77317480"/>
    <w:rsid w:val="79DF5466"/>
    <w:rsid w:val="7AF21E4A"/>
    <w:rsid w:val="7B1A60AE"/>
    <w:rsid w:val="7B9B60E9"/>
    <w:rsid w:val="7BC57384"/>
    <w:rsid w:val="7E9346D4"/>
    <w:rsid w:val="7E9509AE"/>
    <w:rsid w:val="7EB1235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10">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2">
    <w:name w:val="HTML Preformatted"/>
    <w:unhideWhenUsed/>
    <w:qFormat/>
    <w:uiPriority w:val="99"/>
    <w:pPr>
      <w:widowControl w:val="0"/>
      <w:suppressAutoHyphens/>
      <w:bidi w:val="0"/>
      <w:jc w:val="both"/>
    </w:pPr>
    <w:rPr>
      <w:rFonts w:ascii="Courier New" w:hAnsi="Courier New" w:eastAsia="等线" w:cs="Times New Roman"/>
      <w:kern w:val="2"/>
      <w:sz w:val="20"/>
      <w:szCs w:val="22"/>
      <w:lang w:val="en-US" w:eastAsia="zh-CN" w:bidi="ar-SA"/>
    </w:rPr>
  </w:style>
  <w:style w:type="paragraph" w:styleId="3">
    <w:name w:val="Body Text"/>
    <w:basedOn w:val="1"/>
    <w:link w:val="14"/>
    <w:qFormat/>
    <w:uiPriority w:val="99"/>
    <w:rPr>
      <w:rFonts w:ascii="仿宋_GB2312" w:eastAsia="仿宋_GB2312" w:cs="仿宋_GB2312"/>
      <w:sz w:val="32"/>
      <w:szCs w:val="32"/>
    </w:rPr>
  </w:style>
  <w:style w:type="paragraph" w:styleId="4">
    <w:name w:val="Body Text Indent 2"/>
    <w:basedOn w:val="1"/>
    <w:next w:val="1"/>
    <w:qFormat/>
    <w:uiPriority w:val="0"/>
    <w:pPr>
      <w:spacing w:after="120" w:afterLines="0" w:afterAutospacing="0" w:line="480" w:lineRule="auto"/>
      <w:ind w:left="420" w:leftChars="200"/>
    </w:pPr>
  </w:style>
  <w:style w:type="paragraph" w:styleId="5">
    <w:name w:val="Balloon Text"/>
    <w:basedOn w:val="1"/>
    <w:link w:val="19"/>
    <w:semiHidden/>
    <w:unhideWhenUsed/>
    <w:uiPriority w:val="99"/>
    <w:rPr>
      <w:sz w:val="18"/>
      <w:szCs w:val="18"/>
    </w:rPr>
  </w:style>
  <w:style w:type="paragraph" w:styleId="6">
    <w:name w:val="footer"/>
    <w:basedOn w:val="1"/>
    <w:link w:val="15"/>
    <w:qFormat/>
    <w:uiPriority w:val="99"/>
    <w:pPr>
      <w:tabs>
        <w:tab w:val="center" w:pos="4153"/>
        <w:tab w:val="right" w:pos="8306"/>
      </w:tabs>
      <w:snapToGrid w:val="0"/>
      <w:jc w:val="left"/>
    </w:pPr>
    <w:rPr>
      <w:sz w:val="18"/>
      <w:szCs w:val="18"/>
    </w:rPr>
  </w:style>
  <w:style w:type="paragraph" w:styleId="7">
    <w:name w:val="header"/>
    <w:basedOn w:val="1"/>
    <w:link w:val="16"/>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rFonts w:cs="Times New Roman"/>
      <w:kern w:val="0"/>
      <w:sz w:val="24"/>
    </w:rPr>
  </w:style>
  <w:style w:type="character" w:styleId="11">
    <w:name w:val="Strong"/>
    <w:qFormat/>
    <w:locked/>
    <w:uiPriority w:val="22"/>
    <w:rPr>
      <w:b/>
    </w:rPr>
  </w:style>
  <w:style w:type="character" w:styleId="12">
    <w:name w:val="FollowedHyperlink"/>
    <w:basedOn w:val="10"/>
    <w:semiHidden/>
    <w:unhideWhenUsed/>
    <w:qFormat/>
    <w:uiPriority w:val="99"/>
    <w:rPr>
      <w:color w:val="800080"/>
      <w:u w:val="none"/>
    </w:rPr>
  </w:style>
  <w:style w:type="character" w:styleId="13">
    <w:name w:val="Hyperlink"/>
    <w:basedOn w:val="10"/>
    <w:semiHidden/>
    <w:unhideWhenUsed/>
    <w:qFormat/>
    <w:uiPriority w:val="99"/>
    <w:rPr>
      <w:color w:val="0000FF"/>
      <w:u w:val="none"/>
    </w:rPr>
  </w:style>
  <w:style w:type="character" w:customStyle="1" w:styleId="14">
    <w:name w:val="正文文本 Char"/>
    <w:basedOn w:val="10"/>
    <w:link w:val="3"/>
    <w:semiHidden/>
    <w:qFormat/>
    <w:uiPriority w:val="99"/>
    <w:rPr>
      <w:rFonts w:cs="Calibri"/>
      <w:szCs w:val="21"/>
    </w:rPr>
  </w:style>
  <w:style w:type="character" w:customStyle="1" w:styleId="15">
    <w:name w:val="页脚 Char"/>
    <w:basedOn w:val="10"/>
    <w:link w:val="6"/>
    <w:semiHidden/>
    <w:qFormat/>
    <w:uiPriority w:val="99"/>
    <w:rPr>
      <w:rFonts w:cs="Calibri"/>
      <w:sz w:val="18"/>
      <w:szCs w:val="18"/>
    </w:rPr>
  </w:style>
  <w:style w:type="character" w:customStyle="1" w:styleId="16">
    <w:name w:val="页眉 Char"/>
    <w:basedOn w:val="10"/>
    <w:link w:val="7"/>
    <w:semiHidden/>
    <w:qFormat/>
    <w:uiPriority w:val="99"/>
    <w:rPr>
      <w:rFonts w:cs="Calibri"/>
      <w:sz w:val="18"/>
      <w:szCs w:val="18"/>
    </w:rPr>
  </w:style>
  <w:style w:type="character" w:customStyle="1" w:styleId="17">
    <w:name w:val="w602"/>
    <w:basedOn w:val="10"/>
    <w:qFormat/>
    <w:uiPriority w:val="0"/>
  </w:style>
  <w:style w:type="character" w:customStyle="1" w:styleId="18">
    <w:name w:val="hover44"/>
    <w:basedOn w:val="10"/>
    <w:qFormat/>
    <w:uiPriority w:val="0"/>
    <w:rPr>
      <w:color w:val="FFFFFF"/>
      <w:shd w:val="clear" w:color="auto" w:fill="2AB2DD"/>
    </w:rPr>
  </w:style>
  <w:style w:type="character" w:customStyle="1" w:styleId="19">
    <w:name w:val="批注框文本 Char"/>
    <w:basedOn w:val="10"/>
    <w:link w:val="5"/>
    <w:semiHidden/>
    <w:uiPriority w:val="99"/>
    <w:rPr>
      <w:rFonts w:ascii="Calibri" w:hAnsi="Calibri" w:cs="Calibr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241</Words>
  <Characters>1374</Characters>
  <Lines>11</Lines>
  <Paragraphs>3</Paragraphs>
  <TotalTime>20</TotalTime>
  <ScaleCrop>false</ScaleCrop>
  <LinksUpToDate>false</LinksUpToDate>
  <CharactersWithSpaces>1612</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2019-03-19T08:49:00Z</dcterms:created>
  <dc:creator>love</dc:creator>
  <cp:lastModifiedBy>Administrator</cp:lastModifiedBy>
  <cp:lastPrinted>2022-05-10T07:10:27Z</cp:lastPrinted>
  <dcterms:modified xsi:type="dcterms:W3CDTF">2022-05-10T07:17:15Z</dcterms:modified>
  <dc:title>宿退役军人办〔2019〕1号</dc:title>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