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85" w:line="187" w:lineRule="auto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hint="eastAsia" w:ascii="微软雅黑" w:hAnsi="微软雅黑" w:eastAsia="微软雅黑" w:cs="微软雅黑"/>
          <w:sz w:val="43"/>
          <w:szCs w:val="43"/>
          <w:lang w:val="en-US" w:eastAsia="zh-CN"/>
        </w:rPr>
        <w:t>2022</w:t>
      </w:r>
      <w:r>
        <w:rPr>
          <w:rFonts w:ascii="微软雅黑" w:hAnsi="微软雅黑" w:eastAsia="微软雅黑" w:cs="微软雅黑"/>
          <w:spacing w:val="14"/>
          <w:sz w:val="43"/>
          <w:szCs w:val="43"/>
        </w:rPr>
        <w:t>年度部门整体评价报</w:t>
      </w:r>
      <w:r>
        <w:rPr>
          <w:rFonts w:ascii="微软雅黑" w:hAnsi="微软雅黑" w:eastAsia="微软雅黑" w:cs="微软雅黑"/>
          <w:spacing w:val="11"/>
          <w:sz w:val="43"/>
          <w:szCs w:val="43"/>
        </w:rPr>
        <w:t>告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251" w:line="222" w:lineRule="auto"/>
        <w:ind w:left="3444"/>
        <w:rPr>
          <w:rFonts w:ascii="楷体" w:hAnsi="楷体" w:eastAsia="楷体" w:cs="楷体"/>
          <w:sz w:val="31"/>
          <w:szCs w:val="31"/>
        </w:rPr>
      </w:pPr>
      <w:r>
        <w:rPr>
          <w:rFonts w:hint="eastAsia" w:ascii="楷体" w:hAnsi="楷体" w:eastAsia="楷体" w:cs="楷体"/>
          <w:spacing w:val="-19"/>
          <w:sz w:val="31"/>
          <w:szCs w:val="31"/>
          <w:lang w:val="en-US" w:eastAsia="zh-CN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2023 </w:t>
      </w:r>
      <w:r>
        <w:rPr>
          <w:rFonts w:ascii="楷体" w:hAnsi="楷体" w:eastAsia="楷体" w:cs="楷体"/>
          <w:spacing w:val="-19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楷体" w:hAnsi="楷体" w:eastAsia="楷体" w:cs="楷体"/>
          <w:spacing w:val="-19"/>
          <w:sz w:val="31"/>
          <w:szCs w:val="31"/>
        </w:rPr>
        <w:t xml:space="preserve"> </w:t>
      </w:r>
      <w:r>
        <w:rPr>
          <w:rFonts w:hint="eastAsia" w:ascii="楷体" w:hAnsi="楷体" w:eastAsia="楷体" w:cs="楷体"/>
          <w:spacing w:val="-19"/>
          <w:sz w:val="31"/>
          <w:szCs w:val="31"/>
          <w:lang w:val="en-US" w:eastAsia="zh-CN"/>
        </w:rPr>
        <w:t xml:space="preserve">4 </w:t>
      </w:r>
      <w:r>
        <w:rPr>
          <w:rFonts w:ascii="楷体" w:hAnsi="楷体" w:eastAsia="楷体" w:cs="楷体"/>
          <w:spacing w:val="-19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</w:p>
    <w:p>
      <w:pPr>
        <w:sectPr>
          <w:footerReference r:id="rId5" w:type="default"/>
          <w:pgSz w:w="11906" w:h="16839"/>
          <w:pgMar w:top="1431" w:right="1785" w:bottom="975" w:left="1785" w:header="0" w:footer="598" w:gutter="0"/>
          <w:pgNumType w:fmt="numberInDash" w:start="1"/>
          <w:cols w:space="720" w:num="1"/>
        </w:sect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01"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评</w:t>
      </w:r>
      <w:r>
        <w:rPr>
          <w:rFonts w:ascii="仿宋" w:hAnsi="仿宋" w:eastAsia="仿宋" w:cs="仿宋"/>
          <w:spacing w:val="9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价组人员名单及及职务</w:t>
      </w:r>
      <w:r>
        <w:rPr>
          <w:rFonts w:hint="eastAsia" w:ascii="仿宋" w:hAnsi="仿宋" w:eastAsia="仿宋" w:cs="仿宋"/>
          <w:spacing w:val="9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（或</w:t>
      </w:r>
      <w:r>
        <w:rPr>
          <w:rFonts w:ascii="仿宋" w:hAnsi="仿宋" w:eastAsia="仿宋" w:cs="仿宋"/>
          <w:spacing w:val="9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专业技术职称</w:t>
      </w:r>
      <w:r>
        <w:rPr>
          <w:rFonts w:hint="eastAsia" w:ascii="仿宋" w:hAnsi="仿宋" w:eastAsia="仿宋" w:cs="仿宋"/>
          <w:spacing w:val="9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  <w:r>
        <w:rPr>
          <w:rFonts w:ascii="仿宋" w:hAnsi="仿宋" w:eastAsia="仿宋" w:cs="仿宋"/>
          <w:spacing w:val="9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pacing w:before="252" w:line="224" w:lineRule="auto"/>
        <w:ind w:left="3"/>
        <w:rPr>
          <w:rFonts w:hint="default" w:ascii="仿宋" w:hAnsi="仿宋" w:eastAsia="仿宋" w:cs="仿宋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-13"/>
          <w:sz w:val="31"/>
          <w:szCs w:val="31"/>
        </w:rPr>
        <w:t>组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   长：  </w:t>
      </w:r>
      <w:r>
        <w:rPr>
          <w:rFonts w:hint="eastAsia" w:ascii="仿宋" w:hAnsi="仿宋" w:eastAsia="仿宋" w:cs="仿宋"/>
          <w:spacing w:val="-10"/>
          <w:sz w:val="31"/>
          <w:szCs w:val="31"/>
          <w:lang w:eastAsia="zh-CN"/>
        </w:rPr>
        <w:t>仇</w:t>
      </w:r>
      <w:r>
        <w:rPr>
          <w:rFonts w:hint="eastAsia" w:ascii="仿宋" w:hAnsi="仿宋" w:eastAsia="仿宋" w:cs="仿宋"/>
          <w:spacing w:val="-10"/>
          <w:sz w:val="31"/>
          <w:szCs w:val="31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10"/>
          <w:sz w:val="31"/>
          <w:szCs w:val="31"/>
          <w:lang w:eastAsia="zh-CN"/>
        </w:rPr>
        <w:t>杰</w:t>
      </w:r>
      <w:r>
        <w:rPr>
          <w:rFonts w:hint="eastAsia" w:ascii="仿宋" w:hAnsi="仿宋" w:eastAsia="仿宋" w:cs="仿宋"/>
          <w:spacing w:val="-10"/>
          <w:sz w:val="31"/>
          <w:szCs w:val="31"/>
          <w:lang w:val="en-US" w:eastAsia="zh-CN"/>
        </w:rPr>
        <w:t xml:space="preserve">  陵园支部书记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101" w:line="224" w:lineRule="auto"/>
        <w:ind w:left="7"/>
        <w:rPr>
          <w:rFonts w:hint="default" w:ascii="仿宋" w:hAnsi="仿宋" w:eastAsia="仿宋" w:cs="仿宋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-10"/>
          <w:sz w:val="31"/>
          <w:szCs w:val="31"/>
        </w:rPr>
        <w:t>成</w:t>
      </w:r>
      <w:r>
        <w:rPr>
          <w:rFonts w:ascii="仿宋" w:hAnsi="仿宋" w:eastAsia="仿宋" w:cs="仿宋"/>
          <w:spacing w:val="-5"/>
          <w:sz w:val="31"/>
          <w:szCs w:val="31"/>
        </w:rPr>
        <w:t xml:space="preserve">    员：</w:t>
      </w:r>
      <w:r>
        <w:rPr>
          <w:rFonts w:hint="eastAsia" w:ascii="仿宋" w:hAnsi="仿宋" w:eastAsia="仿宋" w:cs="仿宋"/>
          <w:spacing w:val="-5"/>
          <w:sz w:val="31"/>
          <w:szCs w:val="31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5"/>
          <w:sz w:val="31"/>
          <w:szCs w:val="31"/>
          <w:lang w:eastAsia="zh-CN"/>
        </w:rPr>
        <w:t>朱</w:t>
      </w:r>
      <w:r>
        <w:rPr>
          <w:rFonts w:hint="eastAsia" w:ascii="仿宋" w:hAnsi="仿宋" w:eastAsia="仿宋" w:cs="仿宋"/>
          <w:spacing w:val="-5"/>
          <w:sz w:val="31"/>
          <w:szCs w:val="31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5"/>
          <w:sz w:val="31"/>
          <w:szCs w:val="31"/>
          <w:lang w:eastAsia="zh-CN"/>
        </w:rPr>
        <w:t>全</w:t>
      </w:r>
      <w:r>
        <w:rPr>
          <w:rFonts w:hint="eastAsia" w:ascii="仿宋" w:hAnsi="仿宋" w:eastAsia="仿宋" w:cs="仿宋"/>
          <w:spacing w:val="-5"/>
          <w:sz w:val="31"/>
          <w:szCs w:val="31"/>
          <w:lang w:val="en-US" w:eastAsia="zh-CN"/>
        </w:rPr>
        <w:t xml:space="preserve">  陵园副主任</w:t>
      </w:r>
    </w:p>
    <w:p>
      <w:pPr>
        <w:spacing w:before="212" w:line="220" w:lineRule="auto"/>
        <w:ind w:firstLine="1644" w:firstLineChars="600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-18"/>
          <w:sz w:val="31"/>
          <w:szCs w:val="31"/>
          <w:lang w:eastAsia="zh-CN"/>
        </w:rPr>
        <w:t>马君明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-18"/>
          <w:sz w:val="31"/>
          <w:szCs w:val="31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18"/>
          <w:sz w:val="31"/>
          <w:szCs w:val="31"/>
          <w:lang w:eastAsia="zh-CN"/>
        </w:rPr>
        <w:t>办公室主任</w:t>
      </w:r>
    </w:p>
    <w:p>
      <w:pPr>
        <w:spacing w:before="254" w:line="222" w:lineRule="auto"/>
        <w:ind w:firstLine="1620" w:firstLineChars="600"/>
        <w:rPr>
          <w:rFonts w:hint="eastAsia" w:ascii="仿宋" w:hAnsi="仿宋" w:eastAsia="仿宋" w:cs="仿宋"/>
          <w:spacing w:val="-20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-20"/>
          <w:sz w:val="31"/>
          <w:szCs w:val="31"/>
          <w:lang w:eastAsia="zh-CN"/>
        </w:rPr>
        <w:t>张桂霞</w:t>
      </w:r>
      <w:r>
        <w:rPr>
          <w:rFonts w:ascii="仿宋" w:hAnsi="仿宋" w:eastAsia="仿宋" w:cs="仿宋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0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-20"/>
          <w:sz w:val="31"/>
          <w:szCs w:val="31"/>
          <w:lang w:eastAsia="zh-CN"/>
        </w:rPr>
        <w:t>中级会计师</w:t>
      </w:r>
    </w:p>
    <w:p>
      <w:pPr>
        <w:spacing w:before="254" w:line="222" w:lineRule="auto"/>
        <w:ind w:firstLine="1620" w:firstLineChars="600"/>
        <w:rPr>
          <w:rFonts w:hint="default" w:ascii="仿宋" w:hAnsi="仿宋" w:eastAsia="仿宋" w:cs="仿宋"/>
          <w:spacing w:val="-20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1"/>
          <w:szCs w:val="31"/>
          <w:lang w:eastAsia="zh-CN"/>
        </w:rPr>
        <w:t>李景荣</w:t>
      </w:r>
      <w:r>
        <w:rPr>
          <w:rFonts w:hint="eastAsia" w:ascii="仿宋" w:hAnsi="仿宋" w:eastAsia="仿宋" w:cs="仿宋"/>
          <w:spacing w:val="-20"/>
          <w:sz w:val="31"/>
          <w:szCs w:val="31"/>
          <w:lang w:val="en-US" w:eastAsia="zh-CN"/>
        </w:rPr>
        <w:t xml:space="preserve">  中级会计师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102" w:line="224" w:lineRule="auto"/>
        <w:ind w:left="13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8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主</w:t>
      </w:r>
      <w:r>
        <w:rPr>
          <w:rFonts w:ascii="仿宋" w:hAnsi="仿宋" w:eastAsia="仿宋" w:cs="仿宋"/>
          <w:spacing w:val="6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要负责人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(签字)：</w:t>
      </w:r>
      <w:r>
        <w:rPr>
          <w:rFonts w:hint="eastAsia" w:ascii="仿宋" w:hAnsi="仿宋" w:eastAsia="仿宋" w:cs="仿宋"/>
          <w:spacing w:val="6"/>
          <w:sz w:val="31"/>
          <w:szCs w:val="31"/>
          <w:lang w:eastAsia="zh-CN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仇杰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66" w:line="335" w:lineRule="auto"/>
        <w:ind w:left="7058" w:firstLine="479"/>
        <w:rPr>
          <w:rFonts w:hint="default"/>
          <w:sz w:val="32"/>
          <w:szCs w:val="32"/>
          <w:lang w:val="en-US"/>
        </w:rPr>
        <w:sectPr>
          <w:footerReference r:id="rId6" w:type="default"/>
          <w:pgSz w:w="11906" w:h="16839"/>
          <w:pgMar w:top="1431" w:right="1742" w:bottom="973" w:left="1598" w:header="0" w:footer="598" w:gutter="0"/>
          <w:pgNumType w:fmt="numberInDash"/>
          <w:cols w:space="720" w:num="1"/>
        </w:sectPr>
      </w:pPr>
      <w:r>
        <w:rPr>
          <w:rFonts w:ascii="仿宋" w:hAnsi="仿宋" w:eastAsia="仿宋" w:cs="仿宋"/>
          <w:spacing w:val="8"/>
          <w:sz w:val="20"/>
          <w:szCs w:val="20"/>
        </w:rPr>
        <w:t>(</w:t>
      </w:r>
      <w:r>
        <w:rPr>
          <w:rFonts w:ascii="仿宋" w:hAnsi="仿宋" w:eastAsia="仿宋" w:cs="仿宋"/>
          <w:spacing w:val="5"/>
          <w:sz w:val="20"/>
          <w:szCs w:val="20"/>
        </w:rPr>
        <w:t>盖章 )</w:t>
      </w:r>
      <w:r>
        <w:rPr>
          <w:rFonts w:ascii="仿宋" w:hAnsi="仿宋" w:eastAsia="仿宋" w:cs="仿宋"/>
          <w:sz w:val="20"/>
          <w:szCs w:val="20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2023年4月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sdt>
      <w:sdtPr>
        <w:rPr>
          <w:rFonts w:ascii="宋体" w:hAnsi="宋体" w:eastAsia="宋体" w:cs="宋体"/>
          <w:sz w:val="43"/>
          <w:szCs w:val="43"/>
        </w:rPr>
        <w:id w:val="1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3"/>
          <w:szCs w:val="23"/>
        </w:rPr>
      </w:sdtEndPr>
      <w:sdtContent>
        <w:p>
          <w:pPr>
            <w:spacing w:before="140" w:line="226" w:lineRule="auto"/>
            <w:ind w:left="3822"/>
            <w:rPr>
              <w:rFonts w:ascii="宋体" w:hAnsi="宋体" w:eastAsia="宋体" w:cs="宋体"/>
              <w:sz w:val="43"/>
              <w:szCs w:val="43"/>
            </w:rPr>
          </w:pPr>
          <w:r>
            <w:rPr>
              <w:rFonts w:ascii="宋体" w:hAnsi="宋体" w:eastAsia="宋体" w:cs="宋体"/>
              <w:spacing w:val="-17"/>
              <w:sz w:val="43"/>
              <w:szCs w:val="43"/>
              <w14:textOutline w14:w="7975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目</w:t>
          </w:r>
          <w:r>
            <w:rPr>
              <w:rFonts w:ascii="宋体" w:hAnsi="宋体" w:eastAsia="宋体" w:cs="宋体"/>
              <w:spacing w:val="-14"/>
              <w:sz w:val="43"/>
              <w:szCs w:val="43"/>
            </w:rPr>
            <w:t xml:space="preserve">  </w:t>
          </w:r>
          <w:r>
            <w:rPr>
              <w:rFonts w:ascii="宋体" w:hAnsi="宋体" w:eastAsia="宋体" w:cs="宋体"/>
              <w:spacing w:val="-14"/>
              <w:sz w:val="43"/>
              <w:szCs w:val="43"/>
              <w14:textOutline w14:w="7975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录</w:t>
          </w:r>
        </w:p>
        <w:p>
          <w:pPr>
            <w:tabs>
              <w:tab w:val="right" w:leader="dot" w:pos="9050"/>
            </w:tabs>
            <w:spacing w:before="250" w:line="305" w:lineRule="exact"/>
            <w:ind w:left="6"/>
            <w:rPr>
              <w:rFonts w:hint="eastAsia" w:ascii="Times New Roman" w:hAnsi="Times New Roman" w:eastAsia="黑体" w:cs="Times New Roman"/>
              <w:sz w:val="23"/>
              <w:szCs w:val="23"/>
              <w:lang w:val="en-US" w:eastAsia="zh-CN"/>
            </w:rPr>
          </w:pPr>
          <w:r>
            <w:rPr>
              <w:rFonts w:ascii="黑体" w:hAnsi="黑体" w:eastAsia="黑体" w:cs="黑体"/>
              <w:spacing w:val="-6"/>
              <w:position w:val="2"/>
              <w:sz w:val="23"/>
              <w:szCs w:val="23"/>
            </w:rPr>
            <w:t>一</w:t>
          </w:r>
          <w:r>
            <w:rPr>
              <w:rFonts w:ascii="黑体" w:hAnsi="黑体" w:eastAsia="黑体" w:cs="黑体"/>
              <w:spacing w:val="-5"/>
              <w:position w:val="2"/>
              <w:sz w:val="23"/>
              <w:szCs w:val="23"/>
            </w:rPr>
            <w:t xml:space="preserve">、部门基本情况 </w:t>
          </w:r>
          <w:r>
            <w:rPr>
              <w:rFonts w:ascii="黑体" w:hAnsi="黑体" w:eastAsia="黑体" w:cs="黑体"/>
              <w:position w:val="2"/>
              <w:sz w:val="23"/>
              <w:szCs w:val="23"/>
            </w:rPr>
            <w:tab/>
          </w:r>
          <w:r>
            <w:rPr>
              <w:rFonts w:ascii="黑体" w:hAnsi="黑体" w:eastAsia="黑体" w:cs="黑体"/>
              <w:spacing w:val="-5"/>
              <w:position w:val="2"/>
              <w:sz w:val="23"/>
              <w:szCs w:val="23"/>
            </w:rPr>
            <w:t xml:space="preserve"> </w:t>
          </w:r>
          <w:r>
            <w:rPr>
              <w:rFonts w:hint="eastAsia" w:ascii="黑体" w:hAnsi="黑体" w:eastAsia="黑体" w:cs="黑体"/>
              <w:spacing w:val="-5"/>
              <w:position w:val="2"/>
              <w:sz w:val="23"/>
              <w:szCs w:val="23"/>
              <w:lang w:val="en-US" w:eastAsia="zh-CN"/>
            </w:rPr>
            <w:t>5</w:t>
          </w:r>
        </w:p>
        <w:p>
          <w:pPr>
            <w:tabs>
              <w:tab w:val="right" w:leader="dot" w:pos="9049"/>
            </w:tabs>
            <w:spacing w:before="113" w:line="228" w:lineRule="auto"/>
            <w:ind w:left="430"/>
            <w:rPr>
              <w:rFonts w:hint="eastAsia" w:ascii="宋体" w:hAnsi="宋体" w:eastAsia="宋体" w:cs="宋体"/>
              <w:sz w:val="23"/>
              <w:szCs w:val="23"/>
              <w:lang w:val="en-US" w:eastAsia="zh-CN"/>
            </w:rPr>
          </w:pPr>
          <w:r>
            <w:rPr>
              <w:rFonts w:ascii="宋体" w:hAnsi="宋体" w:eastAsia="宋体" w:cs="宋体"/>
              <w:spacing w:val="-9"/>
              <w:sz w:val="23"/>
              <w:szCs w:val="23"/>
            </w:rPr>
            <w:t>(</w:t>
          </w:r>
          <w:r>
            <w:rPr>
              <w:rFonts w:ascii="宋体" w:hAnsi="宋体" w:eastAsia="宋体" w:cs="宋体"/>
              <w:spacing w:val="-7"/>
              <w:sz w:val="23"/>
              <w:szCs w:val="23"/>
            </w:rPr>
            <w:t xml:space="preserve"> 一) 部门概况 </w:t>
          </w:r>
          <w:r>
            <w:rPr>
              <w:rFonts w:ascii="宋体" w:hAnsi="宋体" w:eastAsia="宋体" w:cs="宋体"/>
              <w:sz w:val="23"/>
              <w:szCs w:val="23"/>
            </w:rPr>
            <w:tab/>
          </w:r>
          <w:r>
            <w:rPr>
              <w:rFonts w:ascii="宋体" w:hAnsi="宋体" w:eastAsia="宋体" w:cs="宋体"/>
              <w:spacing w:val="-7"/>
              <w:sz w:val="23"/>
              <w:szCs w:val="23"/>
            </w:rPr>
            <w:t xml:space="preserve"> </w:t>
          </w:r>
          <w:r>
            <w:rPr>
              <w:rFonts w:hint="eastAsia" w:ascii="宋体" w:hAnsi="宋体" w:eastAsia="宋体" w:cs="宋体"/>
              <w:spacing w:val="-7"/>
              <w:sz w:val="23"/>
              <w:szCs w:val="23"/>
              <w:lang w:val="en-US" w:eastAsia="zh-CN"/>
            </w:rPr>
            <w:t>5</w:t>
          </w:r>
        </w:p>
        <w:p>
          <w:pPr>
            <w:tabs>
              <w:tab w:val="right" w:leader="dot" w:pos="9049"/>
            </w:tabs>
            <w:spacing w:before="135" w:line="228" w:lineRule="auto"/>
            <w:ind w:left="430"/>
            <w:rPr>
              <w:rFonts w:hint="eastAsia" w:ascii="宋体" w:hAnsi="宋体" w:eastAsia="宋体" w:cs="宋体"/>
              <w:sz w:val="23"/>
              <w:szCs w:val="23"/>
              <w:lang w:val="en-US" w:eastAsia="zh-CN"/>
            </w:rPr>
          </w:pPr>
          <w:r>
            <w:rPr>
              <w:rFonts w:ascii="宋体" w:hAnsi="宋体" w:eastAsia="宋体" w:cs="宋体"/>
              <w:spacing w:val="8"/>
              <w:sz w:val="23"/>
              <w:szCs w:val="23"/>
            </w:rPr>
            <w:t>(</w:t>
          </w:r>
          <w:r>
            <w:rPr>
              <w:rFonts w:ascii="宋体" w:hAnsi="宋体" w:eastAsia="宋体" w:cs="宋体"/>
              <w:spacing w:val="6"/>
              <w:sz w:val="23"/>
              <w:szCs w:val="23"/>
            </w:rPr>
            <w:t>二</w:t>
          </w:r>
          <w:r>
            <w:rPr>
              <w:rFonts w:ascii="宋体" w:hAnsi="宋体" w:eastAsia="宋体" w:cs="宋体"/>
              <w:spacing w:val="4"/>
              <w:sz w:val="23"/>
              <w:szCs w:val="23"/>
            </w:rPr>
            <w:t xml:space="preserve">) 部门整体绩效目标 </w:t>
          </w:r>
          <w:r>
            <w:rPr>
              <w:rFonts w:ascii="宋体" w:hAnsi="宋体" w:eastAsia="宋体" w:cs="宋体"/>
              <w:sz w:val="23"/>
              <w:szCs w:val="23"/>
            </w:rPr>
            <w:tab/>
          </w:r>
          <w:r>
            <w:rPr>
              <w:rFonts w:ascii="宋体" w:hAnsi="宋体" w:eastAsia="宋体" w:cs="宋体"/>
              <w:spacing w:val="4"/>
              <w:sz w:val="23"/>
              <w:szCs w:val="23"/>
            </w:rPr>
            <w:t xml:space="preserve"> </w:t>
          </w:r>
          <w:r>
            <w:rPr>
              <w:rFonts w:hint="eastAsia" w:ascii="宋体" w:hAnsi="宋体" w:eastAsia="宋体" w:cs="宋体"/>
              <w:spacing w:val="4"/>
              <w:sz w:val="23"/>
              <w:szCs w:val="23"/>
              <w:lang w:val="en-US" w:eastAsia="zh-CN"/>
            </w:rPr>
            <w:t>5</w:t>
          </w:r>
        </w:p>
        <w:p>
          <w:pPr>
            <w:tabs>
              <w:tab w:val="right" w:leader="dot" w:pos="9050"/>
            </w:tabs>
            <w:spacing w:before="137" w:line="305" w:lineRule="exact"/>
            <w:ind w:left="5"/>
            <w:rPr>
              <w:rFonts w:hint="eastAsia" w:ascii="Times New Roman" w:hAnsi="Times New Roman" w:eastAsia="黑体" w:cs="Times New Roman"/>
              <w:sz w:val="23"/>
              <w:szCs w:val="23"/>
              <w:lang w:val="en-US" w:eastAsia="zh-CN"/>
            </w:rPr>
          </w:pPr>
          <w:r>
            <w:rPr>
              <w:rFonts w:ascii="黑体" w:hAnsi="黑体" w:eastAsia="黑体" w:cs="黑体"/>
              <w:spacing w:val="-2"/>
              <w:position w:val="2"/>
              <w:sz w:val="23"/>
              <w:szCs w:val="23"/>
            </w:rPr>
            <w:t>二、绩效</w:t>
          </w:r>
          <w:r>
            <w:rPr>
              <w:rFonts w:ascii="黑体" w:hAnsi="黑体" w:eastAsia="黑体" w:cs="黑体"/>
              <w:spacing w:val="-1"/>
              <w:position w:val="2"/>
              <w:sz w:val="23"/>
              <w:szCs w:val="23"/>
            </w:rPr>
            <w:t xml:space="preserve">评价工作开展情况 </w:t>
          </w:r>
          <w:r>
            <w:rPr>
              <w:rFonts w:ascii="黑体" w:hAnsi="黑体" w:eastAsia="黑体" w:cs="黑体"/>
              <w:position w:val="2"/>
              <w:sz w:val="23"/>
              <w:szCs w:val="23"/>
            </w:rPr>
            <w:tab/>
          </w:r>
          <w:r>
            <w:rPr>
              <w:rFonts w:ascii="黑体" w:hAnsi="黑体" w:eastAsia="黑体" w:cs="黑体"/>
              <w:spacing w:val="-1"/>
              <w:position w:val="2"/>
              <w:sz w:val="23"/>
              <w:szCs w:val="23"/>
            </w:rPr>
            <w:t xml:space="preserve"> </w:t>
          </w:r>
          <w:r>
            <w:rPr>
              <w:rFonts w:hint="eastAsia" w:ascii="黑体" w:hAnsi="黑体" w:eastAsia="黑体" w:cs="黑体"/>
              <w:spacing w:val="-1"/>
              <w:position w:val="2"/>
              <w:sz w:val="23"/>
              <w:szCs w:val="23"/>
              <w:lang w:val="en-US" w:eastAsia="zh-CN"/>
            </w:rPr>
            <w:t>6</w:t>
          </w:r>
        </w:p>
        <w:p>
          <w:pPr>
            <w:tabs>
              <w:tab w:val="right" w:leader="dot" w:pos="9049"/>
            </w:tabs>
            <w:spacing w:before="113" w:line="227" w:lineRule="auto"/>
            <w:ind w:left="430"/>
            <w:rPr>
              <w:rFonts w:hint="eastAsia" w:ascii="宋体" w:hAnsi="宋体" w:eastAsia="宋体" w:cs="宋体"/>
              <w:sz w:val="23"/>
              <w:szCs w:val="23"/>
              <w:lang w:val="en-US" w:eastAsia="zh-CN"/>
            </w:rPr>
          </w:pPr>
          <w:r>
            <w:rPr>
              <w:rFonts w:ascii="宋体" w:hAnsi="宋体" w:eastAsia="宋体" w:cs="宋体"/>
              <w:spacing w:val="-1"/>
              <w:sz w:val="23"/>
              <w:szCs w:val="23"/>
            </w:rPr>
            <w:t>( 一) 绩效评价目的、对</w:t>
          </w:r>
          <w:r>
            <w:rPr>
              <w:rFonts w:ascii="宋体" w:hAnsi="宋体" w:eastAsia="宋体" w:cs="宋体"/>
              <w:sz w:val="23"/>
              <w:szCs w:val="23"/>
            </w:rPr>
            <w:t xml:space="preserve">象和范围 </w:t>
          </w:r>
          <w:r>
            <w:rPr>
              <w:rFonts w:ascii="宋体" w:hAnsi="宋体" w:eastAsia="宋体" w:cs="宋体"/>
              <w:sz w:val="23"/>
              <w:szCs w:val="23"/>
            </w:rPr>
            <w:tab/>
          </w:r>
          <w:r>
            <w:rPr>
              <w:rFonts w:ascii="宋体" w:hAnsi="宋体" w:eastAsia="宋体" w:cs="宋体"/>
              <w:sz w:val="23"/>
              <w:szCs w:val="23"/>
            </w:rPr>
            <w:t xml:space="preserve"> </w:t>
          </w:r>
          <w:r>
            <w:rPr>
              <w:rFonts w:hint="eastAsia" w:ascii="宋体" w:hAnsi="宋体" w:eastAsia="宋体" w:cs="宋体"/>
              <w:sz w:val="23"/>
              <w:szCs w:val="23"/>
              <w:lang w:val="en-US" w:eastAsia="zh-CN"/>
            </w:rPr>
            <w:t>6</w:t>
          </w:r>
        </w:p>
        <w:p>
          <w:pPr>
            <w:tabs>
              <w:tab w:val="right" w:leader="dot" w:pos="9049"/>
            </w:tabs>
            <w:spacing w:before="138" w:line="227" w:lineRule="auto"/>
            <w:ind w:left="430"/>
            <w:rPr>
              <w:rFonts w:hint="eastAsia" w:ascii="宋体" w:hAnsi="宋体" w:eastAsia="宋体" w:cs="宋体"/>
              <w:sz w:val="23"/>
              <w:szCs w:val="23"/>
              <w:lang w:val="en-US" w:eastAsia="zh-CN"/>
            </w:rPr>
          </w:pPr>
          <w:r>
            <w:rPr>
              <w:rFonts w:ascii="宋体" w:hAnsi="宋体" w:eastAsia="宋体" w:cs="宋体"/>
              <w:spacing w:val="14"/>
              <w:sz w:val="23"/>
              <w:szCs w:val="23"/>
            </w:rPr>
            <w:t>(</w:t>
          </w:r>
          <w:r>
            <w:rPr>
              <w:rFonts w:ascii="宋体" w:hAnsi="宋体" w:eastAsia="宋体" w:cs="宋体"/>
              <w:spacing w:val="9"/>
              <w:sz w:val="23"/>
              <w:szCs w:val="23"/>
            </w:rPr>
            <w:t>二</w:t>
          </w:r>
          <w:r>
            <w:rPr>
              <w:rFonts w:ascii="宋体" w:hAnsi="宋体" w:eastAsia="宋体" w:cs="宋体"/>
              <w:spacing w:val="7"/>
              <w:sz w:val="23"/>
              <w:szCs w:val="23"/>
            </w:rPr>
            <w:t xml:space="preserve">) 绩效评价原则、评价指标体系、评价方法和评价标准 </w:t>
          </w:r>
          <w:r>
            <w:rPr>
              <w:rFonts w:ascii="宋体" w:hAnsi="宋体" w:eastAsia="宋体" w:cs="宋体"/>
              <w:sz w:val="23"/>
              <w:szCs w:val="23"/>
            </w:rPr>
            <w:tab/>
          </w:r>
          <w:r>
            <w:rPr>
              <w:rFonts w:ascii="宋体" w:hAnsi="宋体" w:eastAsia="宋体" w:cs="宋体"/>
              <w:spacing w:val="7"/>
              <w:sz w:val="23"/>
              <w:szCs w:val="23"/>
            </w:rPr>
            <w:t xml:space="preserve"> </w:t>
          </w:r>
          <w:r>
            <w:rPr>
              <w:rFonts w:hint="eastAsia" w:ascii="宋体" w:hAnsi="宋体" w:eastAsia="宋体" w:cs="宋体"/>
              <w:spacing w:val="7"/>
              <w:sz w:val="23"/>
              <w:szCs w:val="23"/>
              <w:lang w:val="en-US" w:eastAsia="zh-CN"/>
            </w:rPr>
            <w:t>6</w:t>
          </w:r>
        </w:p>
        <w:p>
          <w:pPr>
            <w:tabs>
              <w:tab w:val="right" w:leader="dot" w:pos="9050"/>
            </w:tabs>
            <w:spacing w:before="137" w:line="227" w:lineRule="auto"/>
            <w:ind w:left="490"/>
            <w:rPr>
              <w:rFonts w:hint="eastAsia" w:ascii="Times New Roman" w:hAnsi="Times New Roman" w:eastAsia="宋体" w:cs="Times New Roman"/>
              <w:sz w:val="23"/>
              <w:szCs w:val="23"/>
              <w:lang w:val="en-US" w:eastAsia="zh-CN"/>
            </w:rPr>
          </w:pPr>
          <w:r>
            <w:rPr>
              <w:rFonts w:ascii="宋体" w:hAnsi="宋体" w:eastAsia="宋体" w:cs="宋体"/>
              <w:spacing w:val="10"/>
              <w:sz w:val="23"/>
              <w:szCs w:val="23"/>
            </w:rPr>
            <w:t>(三</w:t>
          </w:r>
          <w:r>
            <w:rPr>
              <w:rFonts w:ascii="宋体" w:hAnsi="宋体" w:eastAsia="宋体" w:cs="宋体"/>
              <w:spacing w:val="5"/>
              <w:sz w:val="23"/>
              <w:szCs w:val="23"/>
            </w:rPr>
            <w:t xml:space="preserve">) 绩效评价工作过程 </w:t>
          </w:r>
          <w:r>
            <w:rPr>
              <w:rFonts w:ascii="宋体" w:hAnsi="宋体" w:eastAsia="宋体" w:cs="宋体"/>
              <w:sz w:val="23"/>
              <w:szCs w:val="23"/>
            </w:rPr>
            <w:tab/>
          </w:r>
          <w:r>
            <w:rPr>
              <w:rFonts w:ascii="宋体" w:hAnsi="宋体" w:eastAsia="宋体" w:cs="宋体"/>
              <w:spacing w:val="5"/>
              <w:sz w:val="23"/>
              <w:szCs w:val="23"/>
            </w:rPr>
            <w:t xml:space="preserve"> </w:t>
          </w:r>
          <w:r>
            <w:rPr>
              <w:rFonts w:hint="eastAsia" w:ascii="宋体" w:hAnsi="宋体" w:eastAsia="宋体" w:cs="宋体"/>
              <w:spacing w:val="5"/>
              <w:sz w:val="23"/>
              <w:szCs w:val="23"/>
              <w:lang w:val="en-US" w:eastAsia="zh-CN"/>
            </w:rPr>
            <w:t>7</w:t>
          </w:r>
        </w:p>
        <w:p>
          <w:pPr>
            <w:tabs>
              <w:tab w:val="right" w:leader="dot" w:pos="9050"/>
            </w:tabs>
            <w:spacing w:before="139"/>
            <w:ind w:left="7"/>
            <w:rPr>
              <w:rFonts w:hint="eastAsia" w:ascii="Times New Roman" w:hAnsi="Times New Roman" w:eastAsia="黑体" w:cs="Times New Roman"/>
              <w:sz w:val="23"/>
              <w:szCs w:val="23"/>
              <w:lang w:val="en-US" w:eastAsia="zh-CN"/>
            </w:rPr>
          </w:pPr>
          <w:r>
            <w:rPr>
              <w:rFonts w:ascii="黑体" w:hAnsi="黑体" w:eastAsia="黑体" w:cs="黑体"/>
              <w:spacing w:val="-1"/>
              <w:sz w:val="23"/>
              <w:szCs w:val="23"/>
            </w:rPr>
            <w:t>三、综合评价情况及评价结</w:t>
          </w:r>
          <w:r>
            <w:rPr>
              <w:rFonts w:ascii="黑体" w:hAnsi="黑体" w:eastAsia="黑体" w:cs="黑体"/>
              <w:sz w:val="23"/>
              <w:szCs w:val="23"/>
            </w:rPr>
            <w:t xml:space="preserve">论 </w:t>
          </w:r>
          <w:r>
            <w:rPr>
              <w:rFonts w:ascii="黑体" w:hAnsi="黑体" w:eastAsia="黑体" w:cs="黑体"/>
              <w:sz w:val="23"/>
              <w:szCs w:val="23"/>
            </w:rPr>
            <w:tab/>
          </w:r>
          <w:r>
            <w:rPr>
              <w:rFonts w:ascii="黑体" w:hAnsi="黑体" w:eastAsia="黑体" w:cs="黑体"/>
              <w:sz w:val="23"/>
              <w:szCs w:val="23"/>
            </w:rPr>
            <w:t xml:space="preserve"> </w:t>
          </w:r>
          <w:r>
            <w:rPr>
              <w:rFonts w:hint="eastAsia" w:ascii="黑体" w:hAnsi="黑体" w:eastAsia="黑体" w:cs="黑体"/>
              <w:sz w:val="23"/>
              <w:szCs w:val="23"/>
              <w:lang w:val="en-US" w:eastAsia="zh-CN"/>
            </w:rPr>
            <w:t>7</w:t>
          </w:r>
        </w:p>
        <w:p>
          <w:pPr>
            <w:tabs>
              <w:tab w:val="right" w:leader="dot" w:pos="9049"/>
            </w:tabs>
            <w:spacing w:before="119" w:line="227" w:lineRule="auto"/>
            <w:ind w:left="490"/>
            <w:rPr>
              <w:rFonts w:hint="eastAsia" w:ascii="宋体" w:hAnsi="宋体" w:eastAsia="宋体" w:cs="宋体"/>
              <w:sz w:val="23"/>
              <w:szCs w:val="23"/>
              <w:lang w:val="en-US" w:eastAsia="zh-CN"/>
            </w:rPr>
          </w:pPr>
          <w:r>
            <w:rPr>
              <w:rFonts w:ascii="宋体" w:hAnsi="宋体" w:eastAsia="宋体" w:cs="宋体"/>
              <w:spacing w:val="-5"/>
              <w:sz w:val="23"/>
              <w:szCs w:val="23"/>
            </w:rPr>
            <w:t xml:space="preserve">( 一) 综合评价情况 </w:t>
          </w:r>
          <w:r>
            <w:rPr>
              <w:rFonts w:ascii="宋体" w:hAnsi="宋体" w:eastAsia="宋体" w:cs="宋体"/>
              <w:sz w:val="23"/>
              <w:szCs w:val="23"/>
            </w:rPr>
            <w:tab/>
          </w:r>
          <w:r>
            <w:rPr>
              <w:rFonts w:ascii="宋体" w:hAnsi="宋体" w:eastAsia="宋体" w:cs="宋体"/>
              <w:spacing w:val="-5"/>
              <w:sz w:val="23"/>
              <w:szCs w:val="23"/>
            </w:rPr>
            <w:t xml:space="preserve"> </w:t>
          </w:r>
          <w:r>
            <w:rPr>
              <w:rFonts w:hint="eastAsia" w:ascii="宋体" w:hAnsi="宋体" w:eastAsia="宋体" w:cs="宋体"/>
              <w:spacing w:val="-5"/>
              <w:sz w:val="23"/>
              <w:szCs w:val="23"/>
              <w:lang w:val="en-US" w:eastAsia="zh-CN"/>
            </w:rPr>
            <w:t>7</w:t>
          </w:r>
        </w:p>
        <w:p>
          <w:pPr>
            <w:tabs>
              <w:tab w:val="right" w:leader="dot" w:pos="9049"/>
            </w:tabs>
            <w:spacing w:before="137" w:line="227" w:lineRule="auto"/>
            <w:ind w:left="490"/>
            <w:rPr>
              <w:rFonts w:hint="eastAsia" w:ascii="宋体" w:hAnsi="宋体" w:eastAsia="宋体" w:cs="宋体"/>
              <w:sz w:val="23"/>
              <w:szCs w:val="23"/>
              <w:lang w:val="en-US" w:eastAsia="zh-CN"/>
            </w:rPr>
          </w:pPr>
          <w:r>
            <w:rPr>
              <w:rFonts w:ascii="宋体" w:hAnsi="宋体" w:eastAsia="宋体" w:cs="宋体"/>
              <w:spacing w:val="6"/>
              <w:sz w:val="23"/>
              <w:szCs w:val="23"/>
            </w:rPr>
            <w:t>(二</w:t>
          </w:r>
          <w:r>
            <w:rPr>
              <w:rFonts w:ascii="宋体" w:hAnsi="宋体" w:eastAsia="宋体" w:cs="宋体"/>
              <w:spacing w:val="3"/>
              <w:sz w:val="23"/>
              <w:szCs w:val="23"/>
            </w:rPr>
            <w:t xml:space="preserve">) 绩效评价结论 </w:t>
          </w:r>
          <w:r>
            <w:rPr>
              <w:rFonts w:ascii="宋体" w:hAnsi="宋体" w:eastAsia="宋体" w:cs="宋体"/>
              <w:sz w:val="23"/>
              <w:szCs w:val="23"/>
            </w:rPr>
            <w:tab/>
          </w:r>
          <w:r>
            <w:rPr>
              <w:rFonts w:ascii="宋体" w:hAnsi="宋体" w:eastAsia="宋体" w:cs="宋体"/>
              <w:spacing w:val="3"/>
              <w:sz w:val="23"/>
              <w:szCs w:val="23"/>
            </w:rPr>
            <w:t xml:space="preserve"> </w:t>
          </w:r>
          <w:r>
            <w:rPr>
              <w:rFonts w:hint="eastAsia" w:ascii="宋体" w:hAnsi="宋体" w:eastAsia="宋体" w:cs="宋体"/>
              <w:spacing w:val="3"/>
              <w:sz w:val="23"/>
              <w:szCs w:val="23"/>
              <w:lang w:val="en-US" w:eastAsia="zh-CN"/>
            </w:rPr>
            <w:t>8</w:t>
          </w:r>
        </w:p>
        <w:p>
          <w:pPr>
            <w:tabs>
              <w:tab w:val="right" w:leader="dot" w:pos="9050"/>
            </w:tabs>
            <w:spacing w:before="138" w:line="237" w:lineRule="auto"/>
            <w:ind w:left="16"/>
            <w:rPr>
              <w:rFonts w:hint="default" w:ascii="Times New Roman" w:hAnsi="Times New Roman" w:eastAsia="黑体" w:cs="Times New Roman"/>
              <w:sz w:val="23"/>
              <w:szCs w:val="23"/>
              <w:lang w:val="en-US" w:eastAsia="zh-CN"/>
            </w:rPr>
          </w:pPr>
          <w:r>
            <w:rPr>
              <w:rFonts w:ascii="黑体" w:hAnsi="黑体" w:eastAsia="黑体" w:cs="黑体"/>
              <w:spacing w:val="-6"/>
              <w:sz w:val="23"/>
              <w:szCs w:val="23"/>
            </w:rPr>
            <w:t>四、绩</w:t>
          </w:r>
          <w:r>
            <w:rPr>
              <w:rFonts w:ascii="黑体" w:hAnsi="黑体" w:eastAsia="黑体" w:cs="黑体"/>
              <w:spacing w:val="-3"/>
              <w:sz w:val="23"/>
              <w:szCs w:val="23"/>
            </w:rPr>
            <w:t xml:space="preserve">效评价指标分析 </w:t>
          </w:r>
          <w:r>
            <w:rPr>
              <w:rFonts w:ascii="黑体" w:hAnsi="黑体" w:eastAsia="黑体" w:cs="黑体"/>
              <w:sz w:val="23"/>
              <w:szCs w:val="23"/>
            </w:rPr>
            <w:tab/>
          </w:r>
          <w:r>
            <w:rPr>
              <w:rFonts w:ascii="黑体" w:hAnsi="黑体" w:eastAsia="黑体" w:cs="黑体"/>
              <w:spacing w:val="-3"/>
              <w:sz w:val="23"/>
              <w:szCs w:val="23"/>
            </w:rPr>
            <w:t xml:space="preserve"> </w:t>
          </w:r>
          <w:r>
            <w:rPr>
              <w:rFonts w:hint="eastAsia" w:ascii="黑体" w:hAnsi="黑体" w:eastAsia="黑体" w:cs="黑体"/>
              <w:spacing w:val="-3"/>
              <w:sz w:val="23"/>
              <w:szCs w:val="23"/>
              <w:lang w:val="en-US" w:eastAsia="zh-CN"/>
            </w:rPr>
            <w:t>10</w:t>
          </w:r>
        </w:p>
        <w:p>
          <w:pPr>
            <w:tabs>
              <w:tab w:val="right" w:leader="dot" w:pos="9050"/>
            </w:tabs>
            <w:spacing w:before="125"/>
            <w:ind w:left="6"/>
            <w:rPr>
              <w:rFonts w:hint="default" w:ascii="Times New Roman" w:hAnsi="Times New Roman" w:eastAsia="黑体" w:cs="Times New Roman"/>
              <w:sz w:val="23"/>
              <w:szCs w:val="23"/>
              <w:lang w:val="en-US" w:eastAsia="zh-CN"/>
            </w:rPr>
          </w:pPr>
          <w:r>
            <w:rPr>
              <w:rFonts w:ascii="黑体" w:hAnsi="黑体" w:eastAsia="黑体" w:cs="黑体"/>
              <w:spacing w:val="-4"/>
              <w:sz w:val="23"/>
              <w:szCs w:val="23"/>
            </w:rPr>
            <w:t xml:space="preserve">五、主要经验及做法 </w:t>
          </w:r>
          <w:r>
            <w:rPr>
              <w:rFonts w:ascii="黑体" w:hAnsi="黑体" w:eastAsia="黑体" w:cs="黑体"/>
              <w:sz w:val="23"/>
              <w:szCs w:val="23"/>
            </w:rPr>
            <w:tab/>
          </w:r>
          <w:r>
            <w:rPr>
              <w:rFonts w:ascii="黑体" w:hAnsi="黑体" w:eastAsia="黑体" w:cs="黑体"/>
              <w:spacing w:val="-4"/>
              <w:sz w:val="23"/>
              <w:szCs w:val="23"/>
            </w:rPr>
            <w:t xml:space="preserve"> </w:t>
          </w:r>
          <w:r>
            <w:rPr>
              <w:rFonts w:hint="eastAsia" w:ascii="黑体" w:hAnsi="黑体" w:eastAsia="黑体" w:cs="黑体"/>
              <w:spacing w:val="-4"/>
              <w:sz w:val="23"/>
              <w:szCs w:val="23"/>
              <w:lang w:val="en-US" w:eastAsia="zh-CN"/>
            </w:rPr>
            <w:t>11</w:t>
          </w:r>
        </w:p>
        <w:p>
          <w:pPr>
            <w:tabs>
              <w:tab w:val="right" w:leader="dot" w:pos="9050"/>
            </w:tabs>
            <w:spacing w:before="121" w:line="234" w:lineRule="auto"/>
            <w:ind w:left="4"/>
            <w:rPr>
              <w:rFonts w:hint="default" w:ascii="Times New Roman" w:hAnsi="Times New Roman" w:eastAsia="黑体" w:cs="Times New Roman"/>
              <w:sz w:val="23"/>
              <w:szCs w:val="23"/>
              <w:lang w:val="en-US" w:eastAsia="zh-CN"/>
            </w:rPr>
          </w:pPr>
          <w:r>
            <w:rPr>
              <w:rFonts w:ascii="黑体" w:hAnsi="黑体" w:eastAsia="黑体" w:cs="黑体"/>
              <w:spacing w:val="-2"/>
              <w:sz w:val="23"/>
              <w:szCs w:val="23"/>
            </w:rPr>
            <w:t xml:space="preserve">六、存在问题及原因分析 </w:t>
          </w:r>
          <w:r>
            <w:rPr>
              <w:rFonts w:ascii="黑体" w:hAnsi="黑体" w:eastAsia="黑体" w:cs="黑体"/>
              <w:sz w:val="23"/>
              <w:szCs w:val="23"/>
            </w:rPr>
            <w:tab/>
          </w:r>
          <w:r>
            <w:rPr>
              <w:rFonts w:ascii="黑体" w:hAnsi="黑体" w:eastAsia="黑体" w:cs="黑体"/>
              <w:spacing w:val="-2"/>
              <w:sz w:val="23"/>
              <w:szCs w:val="23"/>
            </w:rPr>
            <w:t xml:space="preserve"> </w:t>
          </w:r>
          <w:r>
            <w:rPr>
              <w:rFonts w:hint="eastAsia" w:ascii="黑体" w:hAnsi="黑体" w:eastAsia="黑体" w:cs="黑体"/>
              <w:spacing w:val="-2"/>
              <w:sz w:val="23"/>
              <w:szCs w:val="23"/>
              <w:lang w:val="en-US" w:eastAsia="zh-CN"/>
            </w:rPr>
            <w:t>11</w:t>
          </w:r>
        </w:p>
        <w:p>
          <w:pPr>
            <w:tabs>
              <w:tab w:val="right" w:leader="dot" w:pos="9050"/>
            </w:tabs>
            <w:spacing w:before="129" w:line="238" w:lineRule="auto"/>
            <w:ind w:left="6"/>
            <w:rPr>
              <w:rFonts w:hint="default" w:ascii="Times New Roman" w:hAnsi="Times New Roman" w:eastAsia="黑体" w:cs="Times New Roman"/>
              <w:sz w:val="23"/>
              <w:szCs w:val="23"/>
              <w:lang w:val="en-US" w:eastAsia="zh-CN"/>
            </w:rPr>
          </w:pPr>
          <w:r>
            <w:rPr>
              <w:rFonts w:ascii="黑体" w:hAnsi="黑体" w:eastAsia="黑体" w:cs="黑体"/>
              <w:spacing w:val="-9"/>
              <w:sz w:val="23"/>
              <w:szCs w:val="23"/>
            </w:rPr>
            <w:t>七</w:t>
          </w:r>
          <w:r>
            <w:rPr>
              <w:rFonts w:ascii="黑体" w:hAnsi="黑体" w:eastAsia="黑体" w:cs="黑体"/>
              <w:spacing w:val="-8"/>
              <w:sz w:val="23"/>
              <w:szCs w:val="23"/>
            </w:rPr>
            <w:t xml:space="preserve">、有关建议 </w:t>
          </w:r>
          <w:r>
            <w:rPr>
              <w:rFonts w:ascii="黑体" w:hAnsi="黑体" w:eastAsia="黑体" w:cs="黑体"/>
              <w:sz w:val="23"/>
              <w:szCs w:val="23"/>
            </w:rPr>
            <w:tab/>
          </w:r>
          <w:r>
            <w:rPr>
              <w:rFonts w:ascii="黑体" w:hAnsi="黑体" w:eastAsia="黑体" w:cs="黑体"/>
              <w:spacing w:val="-8"/>
              <w:sz w:val="23"/>
              <w:szCs w:val="23"/>
            </w:rPr>
            <w:t xml:space="preserve"> </w:t>
          </w:r>
          <w:r>
            <w:rPr>
              <w:rFonts w:hint="eastAsia" w:ascii="黑体" w:hAnsi="黑体" w:eastAsia="黑体" w:cs="黑体"/>
              <w:spacing w:val="-8"/>
              <w:sz w:val="23"/>
              <w:szCs w:val="23"/>
              <w:lang w:val="en-US" w:eastAsia="zh-CN"/>
            </w:rPr>
            <w:t>12</w:t>
          </w:r>
        </w:p>
        <w:p>
          <w:pPr>
            <w:tabs>
              <w:tab w:val="right" w:leader="dot" w:pos="9050"/>
            </w:tabs>
            <w:spacing w:before="124" w:line="237" w:lineRule="auto"/>
            <w:rPr>
              <w:rFonts w:ascii="Times New Roman" w:hAnsi="Times New Roman" w:eastAsia="Times New Roman" w:cs="Times New Roman"/>
              <w:sz w:val="23"/>
              <w:szCs w:val="23"/>
            </w:rPr>
          </w:pPr>
          <w:r>
            <w:rPr>
              <w:rFonts w:ascii="黑体" w:hAnsi="黑体" w:eastAsia="黑体" w:cs="黑体"/>
              <w:spacing w:val="-2"/>
              <w:sz w:val="23"/>
              <w:szCs w:val="23"/>
            </w:rPr>
            <w:t>八、其他需要说明的问</w:t>
          </w:r>
          <w:r>
            <w:rPr>
              <w:rFonts w:ascii="黑体" w:hAnsi="黑体" w:eastAsia="黑体" w:cs="黑体"/>
              <w:spacing w:val="-1"/>
              <w:sz w:val="23"/>
              <w:szCs w:val="23"/>
            </w:rPr>
            <w:t xml:space="preserve">题 </w:t>
          </w:r>
          <w:r>
            <w:rPr>
              <w:rFonts w:ascii="黑体" w:hAnsi="黑体" w:eastAsia="黑体" w:cs="黑体"/>
              <w:sz w:val="23"/>
              <w:szCs w:val="23"/>
            </w:rPr>
            <w:tab/>
          </w:r>
          <w:r>
            <w:rPr>
              <w:rFonts w:ascii="黑体" w:hAnsi="黑体" w:eastAsia="黑体" w:cs="黑体"/>
              <w:spacing w:val="-1"/>
              <w:sz w:val="23"/>
              <w:szCs w:val="23"/>
            </w:rPr>
            <w:t xml:space="preserve"> </w:t>
          </w:r>
          <w:r>
            <w:rPr>
              <w:rFonts w:hint="eastAsia" w:ascii="黑体" w:hAnsi="黑体" w:eastAsia="黑体" w:cs="黑体"/>
              <w:spacing w:val="-1"/>
              <w:sz w:val="23"/>
              <w:szCs w:val="23"/>
              <w:lang w:val="en-US" w:eastAsia="zh-CN"/>
            </w:rPr>
            <w:t>12</w:t>
          </w:r>
        </w:p>
      </w:sdtContent>
    </w:sdt>
    <w:p>
      <w:pPr>
        <w:sectPr>
          <w:footerReference r:id="rId7" w:type="default"/>
          <w:pgSz w:w="11906" w:h="16839"/>
          <w:pgMar w:top="1431" w:right="1259" w:bottom="973" w:left="1596" w:header="0" w:footer="598" w:gutter="0"/>
          <w:pgNumType w:fmt="numberInDash"/>
          <w:cols w:space="720" w:num="1"/>
        </w:sect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184" w:line="183" w:lineRule="auto"/>
        <w:ind w:left="3524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-1"/>
          <w:sz w:val="43"/>
          <w:szCs w:val="43"/>
        </w:rPr>
        <w:t xml:space="preserve">摘    </w:t>
      </w:r>
      <w:r>
        <w:rPr>
          <w:rFonts w:ascii="微软雅黑" w:hAnsi="微软雅黑" w:eastAsia="微软雅黑" w:cs="微软雅黑"/>
          <w:sz w:val="43"/>
          <w:szCs w:val="43"/>
        </w:rPr>
        <w:t xml:space="preserve">   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3" w:line="580" w:lineRule="exact"/>
        <w:ind w:firstLine="666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宿州烈士陵园是全国首批百家爱国主义教育基地，</w:t>
      </w:r>
      <w:r>
        <w:rPr>
          <w:rFonts w:ascii="仿宋" w:hAnsi="仿宋" w:eastAsia="仿宋" w:cs="仿宋"/>
          <w:spacing w:val="15"/>
          <w:sz w:val="32"/>
          <w:szCs w:val="32"/>
        </w:rPr>
        <w:t>内设</w:t>
      </w: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办公室、纪念馆等业务科室，全年预算</w:t>
      </w:r>
      <w:r>
        <w:rPr>
          <w:rFonts w:hint="eastAsia" w:ascii="仿宋" w:hAnsi="仿宋" w:eastAsia="仿宋" w:cs="仿宋"/>
          <w:spacing w:val="15"/>
          <w:sz w:val="32"/>
          <w:szCs w:val="32"/>
          <w:lang w:val="en-US" w:eastAsia="zh-CN"/>
        </w:rPr>
        <w:t>819.33万，</w:t>
      </w:r>
      <w:r>
        <w:rPr>
          <w:rFonts w:ascii="仿宋" w:hAnsi="仿宋" w:eastAsia="仿宋" w:cs="仿宋"/>
          <w:spacing w:val="-1"/>
          <w:sz w:val="32"/>
          <w:szCs w:val="32"/>
        </w:rPr>
        <w:t>基本支出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371.18万，</w:t>
      </w:r>
      <w:r>
        <w:rPr>
          <w:rFonts w:ascii="仿宋" w:hAnsi="仿宋" w:eastAsia="仿宋" w:cs="仿宋"/>
          <w:spacing w:val="-1"/>
          <w:sz w:val="32"/>
          <w:szCs w:val="32"/>
        </w:rPr>
        <w:t>项目支出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448.16万，无上年结转资金。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80" w:lineRule="exact"/>
        <w:ind w:left="9" w:firstLine="657"/>
        <w:textAlignment w:val="baseline"/>
        <w:rPr>
          <w:rFonts w:hint="eastAsia" w:ascii="仿宋" w:hAnsi="仿宋" w:eastAsia="仿宋" w:cs="仿宋"/>
          <w:spacing w:val="1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4"/>
          <w:sz w:val="32"/>
          <w:szCs w:val="32"/>
          <w:lang w:val="en-US" w:eastAsia="zh-CN"/>
        </w:rPr>
        <w:t>2022年度宿州烈士陵园较好的完成了年初设定的绩效目标，项目得到有序开展，验收率达到100%，按照项目实际支出与项目申报绩效目标进行对比分析，所有项目均与批复下达相符，各产出数量指标和社会效益均已达到预期效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80" w:lineRule="exact"/>
        <w:ind w:left="9" w:firstLine="657"/>
        <w:textAlignment w:val="baseline"/>
        <w:rPr>
          <w:rFonts w:hint="default" w:ascii="仿宋" w:hAnsi="仿宋" w:eastAsia="仿宋" w:cs="仿宋"/>
          <w:strike/>
          <w:dstrike w:val="0"/>
          <w:sz w:val="32"/>
          <w:szCs w:val="32"/>
          <w:em w:val="dot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  <w:t>本次</w:t>
      </w:r>
      <w:r>
        <w:rPr>
          <w:rFonts w:ascii="仿宋" w:hAnsi="仿宋" w:eastAsia="仿宋" w:cs="仿宋"/>
          <w:spacing w:val="8"/>
          <w:sz w:val="32"/>
          <w:szCs w:val="32"/>
        </w:rPr>
        <w:t>评价</w:t>
      </w:r>
      <w:r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  <w:t>过程</w:t>
      </w:r>
      <w:r>
        <w:rPr>
          <w:rFonts w:ascii="仿宋" w:hAnsi="仿宋" w:eastAsia="仿宋" w:cs="仿宋"/>
          <w:spacing w:val="8"/>
          <w:sz w:val="32"/>
          <w:szCs w:val="32"/>
        </w:rPr>
        <w:t>发现的主要问题</w:t>
      </w:r>
      <w:r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  <w:t>是在预算执行过程中监管力度不够，项目评价指标不够细化。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8" w:line="580" w:lineRule="exact"/>
        <w:ind w:firstLine="604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  <w:t>下一步将完善</w:t>
      </w:r>
      <w:r>
        <w:rPr>
          <w:rFonts w:ascii="仿宋" w:hAnsi="仿宋" w:eastAsia="仿宋" w:cs="仿宋"/>
          <w:spacing w:val="14"/>
          <w:sz w:val="32"/>
          <w:szCs w:val="32"/>
        </w:rPr>
        <w:t>预算绩效管理的具体办法和操作细则，</w:t>
      </w:r>
      <w:r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  <w:t>构建完整的资产管理的制度体系，保障资金使用安全。</w:t>
      </w:r>
      <w:r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  <w:t>明确管理各主体的权责关系，</w:t>
      </w:r>
      <w:r>
        <w:rPr>
          <w:rFonts w:ascii="仿宋" w:hAnsi="仿宋" w:eastAsia="仿宋" w:cs="仿宋"/>
          <w:spacing w:val="5"/>
          <w:sz w:val="32"/>
          <w:szCs w:val="32"/>
        </w:rPr>
        <w:t>细化目标任务，</w:t>
      </w:r>
      <w:r>
        <w:rPr>
          <w:rFonts w:ascii="仿宋" w:hAnsi="仿宋" w:eastAsia="仿宋" w:cs="仿宋"/>
          <w:spacing w:val="15"/>
          <w:sz w:val="32"/>
          <w:szCs w:val="32"/>
        </w:rPr>
        <w:t>实化工作措施，对项目</w:t>
      </w: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实</w:t>
      </w:r>
      <w:r>
        <w:rPr>
          <w:rFonts w:ascii="仿宋" w:hAnsi="仿宋" w:eastAsia="仿宋" w:cs="仿宋"/>
          <w:spacing w:val="15"/>
          <w:sz w:val="32"/>
          <w:szCs w:val="32"/>
        </w:rPr>
        <w:t>行全程动态</w:t>
      </w:r>
      <w:r>
        <w:rPr>
          <w:rFonts w:ascii="仿宋" w:hAnsi="仿宋" w:eastAsia="仿宋" w:cs="仿宋"/>
          <w:spacing w:val="12"/>
          <w:sz w:val="32"/>
          <w:szCs w:val="32"/>
        </w:rPr>
        <w:t>跟</w:t>
      </w:r>
      <w:r>
        <w:rPr>
          <w:rFonts w:ascii="仿宋" w:hAnsi="仿宋" w:eastAsia="仿宋" w:cs="仿宋"/>
          <w:spacing w:val="21"/>
          <w:sz w:val="32"/>
          <w:szCs w:val="32"/>
        </w:rPr>
        <w:t>踪</w:t>
      </w:r>
      <w:r>
        <w:rPr>
          <w:rFonts w:ascii="仿宋" w:hAnsi="仿宋" w:eastAsia="仿宋" w:cs="仿宋"/>
          <w:spacing w:val="16"/>
          <w:sz w:val="32"/>
          <w:szCs w:val="32"/>
        </w:rPr>
        <w:t>监控，</w:t>
      </w:r>
      <w:r>
        <w:rPr>
          <w:rFonts w:ascii="仿宋" w:hAnsi="仿宋" w:eastAsia="仿宋" w:cs="仿宋"/>
          <w:spacing w:val="9"/>
          <w:sz w:val="32"/>
          <w:szCs w:val="32"/>
        </w:rPr>
        <w:t>充分发挥财政资金效益</w:t>
      </w:r>
      <w:r>
        <w:rPr>
          <w:rFonts w:ascii="仿宋" w:hAnsi="仿宋" w:eastAsia="仿宋" w:cs="仿宋"/>
          <w:spacing w:val="7"/>
          <w:sz w:val="32"/>
          <w:szCs w:val="32"/>
        </w:rPr>
        <w:t>。</w:t>
      </w:r>
    </w:p>
    <w:p>
      <w:pPr>
        <w:spacing w:before="1" w:line="222" w:lineRule="auto"/>
        <w:ind w:left="666"/>
        <w:rPr>
          <w:rFonts w:ascii="仿宋" w:hAnsi="仿宋" w:eastAsia="仿宋" w:cs="仿宋"/>
          <w:sz w:val="31"/>
          <w:szCs w:val="3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pStyle w:val="2"/>
        <w:rPr>
          <w:rFonts w:ascii="Arial"/>
          <w:sz w:val="21"/>
        </w:rPr>
      </w:pPr>
    </w:p>
    <w:p>
      <w:pPr>
        <w:spacing w:before="184" w:line="196" w:lineRule="auto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hint="eastAsia" w:ascii="微软雅黑" w:hAnsi="微软雅黑" w:eastAsia="微软雅黑" w:cs="微软雅黑"/>
          <w:spacing w:val="16"/>
          <w:sz w:val="43"/>
          <w:szCs w:val="43"/>
          <w:lang w:val="en-US" w:eastAsia="zh-CN"/>
        </w:rPr>
        <w:t>2022</w:t>
      </w:r>
      <w:r>
        <w:rPr>
          <w:rFonts w:ascii="微软雅黑" w:hAnsi="微软雅黑" w:eastAsia="微软雅黑" w:cs="微软雅黑"/>
          <w:spacing w:val="16"/>
          <w:sz w:val="43"/>
          <w:szCs w:val="43"/>
        </w:rPr>
        <w:t>年度</w:t>
      </w:r>
      <w:r>
        <w:rPr>
          <w:rFonts w:hint="eastAsia" w:ascii="微软雅黑" w:hAnsi="微软雅黑" w:eastAsia="微软雅黑" w:cs="微软雅黑"/>
          <w:spacing w:val="16"/>
          <w:sz w:val="43"/>
          <w:szCs w:val="43"/>
          <w:lang w:eastAsia="zh-CN"/>
        </w:rPr>
        <w:t>宿州烈士陵园</w:t>
      </w:r>
      <w:r>
        <w:rPr>
          <w:rFonts w:ascii="微软雅黑" w:hAnsi="微软雅黑" w:eastAsia="微软雅黑" w:cs="微软雅黑"/>
          <w:spacing w:val="16"/>
          <w:sz w:val="43"/>
          <w:szCs w:val="43"/>
        </w:rPr>
        <w:t>部门整</w:t>
      </w:r>
      <w:r>
        <w:rPr>
          <w:rFonts w:ascii="微软雅黑" w:hAnsi="微软雅黑" w:eastAsia="微软雅黑" w:cs="微软雅黑"/>
          <w:spacing w:val="15"/>
          <w:sz w:val="43"/>
          <w:szCs w:val="43"/>
        </w:rPr>
        <w:t>体</w:t>
      </w:r>
      <w:r>
        <w:rPr>
          <w:rFonts w:ascii="微软雅黑" w:hAnsi="微软雅黑" w:eastAsia="微软雅黑" w:cs="微软雅黑"/>
          <w:spacing w:val="7"/>
          <w:sz w:val="43"/>
          <w:szCs w:val="43"/>
        </w:rPr>
        <w:t>评价报告</w:t>
      </w: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01" w:line="580" w:lineRule="exact"/>
        <w:ind w:firstLine="6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0"/>
          <w:sz w:val="32"/>
          <w:szCs w:val="32"/>
        </w:rPr>
        <w:t>为进一</w:t>
      </w:r>
      <w:r>
        <w:rPr>
          <w:rFonts w:ascii="仿宋" w:hAnsi="仿宋" w:eastAsia="仿宋" w:cs="仿宋"/>
          <w:spacing w:val="6"/>
          <w:sz w:val="32"/>
          <w:szCs w:val="32"/>
        </w:rPr>
        <w:t>步</w:t>
      </w:r>
      <w:r>
        <w:rPr>
          <w:rFonts w:ascii="仿宋" w:hAnsi="仿宋" w:eastAsia="仿宋" w:cs="仿宋"/>
          <w:spacing w:val="5"/>
          <w:sz w:val="32"/>
          <w:szCs w:val="32"/>
        </w:rPr>
        <w:t>加强部门预算绩效管理，提高财政资金使用效益，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财政部《关于印发&lt;项目支出绩效评价管理办法&gt;的通知》（财预〔2020〕10号）</w:t>
      </w:r>
      <w:r>
        <w:rPr>
          <w:rFonts w:ascii="仿宋" w:hAnsi="仿宋" w:eastAsia="仿宋" w:cs="仿宋"/>
          <w:spacing w:val="-7"/>
          <w:sz w:val="32"/>
          <w:szCs w:val="32"/>
        </w:rPr>
        <w:t>要求</w:t>
      </w:r>
      <w:r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pacing w:val="-9"/>
          <w:sz w:val="32"/>
          <w:szCs w:val="32"/>
        </w:rPr>
        <w:t>开展</w:t>
      </w:r>
      <w:r>
        <w:rPr>
          <w:rFonts w:hint="eastAsia" w:ascii="仿宋" w:hAnsi="仿宋" w:eastAsia="仿宋" w:cs="仿宋"/>
          <w:spacing w:val="-9"/>
          <w:sz w:val="32"/>
          <w:szCs w:val="32"/>
          <w:lang w:val="en-US" w:eastAsia="zh-CN"/>
        </w:rPr>
        <w:t>2022</w:t>
      </w:r>
      <w:r>
        <w:rPr>
          <w:rFonts w:ascii="仿宋" w:hAnsi="仿宋" w:eastAsia="仿宋" w:cs="仿宋"/>
          <w:spacing w:val="-9"/>
          <w:sz w:val="32"/>
          <w:szCs w:val="32"/>
        </w:rPr>
        <w:t>年度部门整体支出绩效</w:t>
      </w:r>
      <w:r>
        <w:rPr>
          <w:rFonts w:ascii="仿宋" w:hAnsi="仿宋" w:eastAsia="仿宋" w:cs="仿宋"/>
          <w:spacing w:val="9"/>
          <w:sz w:val="32"/>
          <w:szCs w:val="32"/>
        </w:rPr>
        <w:t>评价工作。现将评价情况报告如下</w:t>
      </w:r>
      <w:r>
        <w:rPr>
          <w:rFonts w:ascii="仿宋" w:hAnsi="仿宋" w:eastAsia="仿宋" w:cs="仿宋"/>
          <w:spacing w:val="6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80" w:lineRule="exact"/>
        <w:ind w:left="65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9"/>
          <w:position w:val="4"/>
          <w:sz w:val="32"/>
          <w:szCs w:val="32"/>
        </w:rPr>
        <w:t>一</w:t>
      </w:r>
      <w:r>
        <w:rPr>
          <w:rFonts w:ascii="黑体" w:hAnsi="黑体" w:eastAsia="黑体" w:cs="黑体"/>
          <w:spacing w:val="7"/>
          <w:position w:val="4"/>
          <w:sz w:val="32"/>
          <w:szCs w:val="32"/>
        </w:rPr>
        <w:t>、部门基本情况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57" w:line="580" w:lineRule="exact"/>
        <w:ind w:left="636"/>
        <w:outlineLvl w:val="2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-12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-8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8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楷体" w:hAnsi="楷体" w:eastAsia="楷体" w:cs="楷体"/>
          <w:spacing w:val="-8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8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-8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8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部门概况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90" w:line="580" w:lineRule="exact"/>
        <w:ind w:left="3" w:right="81" w:firstLine="644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ascii="仿宋" w:hAnsi="仿宋" w:eastAsia="仿宋" w:cs="仿宋"/>
          <w:spacing w:val="14"/>
          <w:sz w:val="32"/>
          <w:szCs w:val="32"/>
        </w:rPr>
        <w:t>部门整体的基本情况</w:t>
      </w:r>
      <w:r>
        <w:rPr>
          <w:rFonts w:hint="eastAsia" w:ascii="仿宋" w:hAnsi="仿宋" w:eastAsia="仿宋" w:cs="仿宋"/>
          <w:spacing w:val="14"/>
          <w:sz w:val="32"/>
          <w:szCs w:val="32"/>
          <w:lang w:eastAsia="zh-CN"/>
        </w:rPr>
        <w:t>：</w:t>
      </w:r>
      <w:r>
        <w:rPr>
          <w:rFonts w:ascii="仿宋" w:hAnsi="仿宋" w:eastAsia="仿宋" w:cs="仿宋"/>
          <w:spacing w:val="14"/>
          <w:sz w:val="32"/>
          <w:szCs w:val="32"/>
        </w:rPr>
        <w:t>1.单位内设职能部门</w:t>
      </w:r>
      <w:r>
        <w:rPr>
          <w:rFonts w:hint="eastAsia" w:ascii="仿宋" w:hAnsi="仿宋" w:eastAsia="仿宋" w:cs="仿宋"/>
          <w:spacing w:val="14"/>
          <w:sz w:val="32"/>
          <w:szCs w:val="32"/>
          <w:lang w:eastAsia="zh-CN"/>
        </w:rPr>
        <w:t>办公室和纪念馆</w:t>
      </w:r>
      <w:r>
        <w:rPr>
          <w:rFonts w:ascii="仿宋" w:hAnsi="仿宋" w:eastAsia="仿宋" w:cs="仿宋"/>
          <w:spacing w:val="14"/>
          <w:sz w:val="32"/>
          <w:szCs w:val="32"/>
        </w:rPr>
        <w:t>，</w:t>
      </w:r>
      <w:r>
        <w:rPr>
          <w:rFonts w:hint="eastAsia" w:ascii="仿宋" w:hAnsi="仿宋" w:eastAsia="仿宋" w:cs="仿宋"/>
          <w:spacing w:val="14"/>
          <w:sz w:val="32"/>
          <w:szCs w:val="32"/>
          <w:lang w:eastAsia="zh-CN"/>
        </w:rPr>
        <w:t>核定编制</w:t>
      </w:r>
      <w:r>
        <w:rPr>
          <w:rFonts w:hint="eastAsia" w:ascii="仿宋" w:hAnsi="仿宋" w:eastAsia="仿宋" w:cs="仿宋"/>
          <w:spacing w:val="14"/>
          <w:sz w:val="32"/>
          <w:szCs w:val="32"/>
          <w:lang w:val="en-US" w:eastAsia="zh-CN"/>
        </w:rPr>
        <w:t>18人，实际</w:t>
      </w:r>
      <w:r>
        <w:rPr>
          <w:rFonts w:ascii="仿宋" w:hAnsi="仿宋" w:eastAsia="仿宋" w:cs="仿宋"/>
          <w:spacing w:val="14"/>
          <w:sz w:val="32"/>
          <w:szCs w:val="32"/>
        </w:rPr>
        <w:t>在</w:t>
      </w:r>
      <w:r>
        <w:rPr>
          <w:rFonts w:hint="eastAsia" w:ascii="仿宋" w:hAnsi="仿宋" w:eastAsia="仿宋" w:cs="仿宋"/>
          <w:spacing w:val="14"/>
          <w:sz w:val="32"/>
          <w:szCs w:val="32"/>
          <w:lang w:eastAsia="zh-CN"/>
        </w:rPr>
        <w:t>职人员</w:t>
      </w:r>
      <w:r>
        <w:rPr>
          <w:rFonts w:hint="eastAsia" w:ascii="仿宋" w:hAnsi="仿宋" w:eastAsia="仿宋" w:cs="仿宋"/>
          <w:spacing w:val="14"/>
          <w:sz w:val="32"/>
          <w:szCs w:val="32"/>
          <w:lang w:val="en-US" w:eastAsia="zh-CN"/>
        </w:rPr>
        <w:t>23人</w:t>
      </w:r>
      <w:r>
        <w:rPr>
          <w:rFonts w:ascii="仿宋" w:hAnsi="仿宋" w:eastAsia="仿宋" w:cs="仿宋"/>
          <w:spacing w:val="14"/>
          <w:sz w:val="32"/>
          <w:szCs w:val="32"/>
        </w:rPr>
        <w:t>，离退休人数</w:t>
      </w:r>
      <w:r>
        <w:rPr>
          <w:rFonts w:hint="eastAsia" w:ascii="仿宋" w:hAnsi="仿宋" w:eastAsia="仿宋" w:cs="仿宋"/>
          <w:spacing w:val="14"/>
          <w:sz w:val="32"/>
          <w:szCs w:val="32"/>
          <w:lang w:val="en-US" w:eastAsia="zh-CN"/>
        </w:rPr>
        <w:t>25人</w:t>
      </w:r>
      <w:r>
        <w:rPr>
          <w:rFonts w:ascii="仿宋" w:hAnsi="仿宋" w:eastAsia="仿宋" w:cs="仿宋"/>
          <w:spacing w:val="14"/>
          <w:sz w:val="32"/>
          <w:szCs w:val="32"/>
        </w:rPr>
        <w:t>。2.结合部门</w:t>
      </w:r>
      <w:r>
        <w:rPr>
          <w:rFonts w:ascii="仿宋" w:hAnsi="仿宋" w:eastAsia="仿宋" w:cs="仿宋"/>
          <w:spacing w:val="16"/>
          <w:sz w:val="32"/>
          <w:szCs w:val="32"/>
        </w:rPr>
        <w:t>三</w:t>
      </w:r>
      <w:r>
        <w:rPr>
          <w:rFonts w:ascii="仿宋" w:hAnsi="仿宋" w:eastAsia="仿宋" w:cs="仿宋"/>
          <w:spacing w:val="15"/>
          <w:sz w:val="32"/>
          <w:szCs w:val="32"/>
        </w:rPr>
        <w:t>定</w:t>
      </w:r>
      <w:r>
        <w:rPr>
          <w:rFonts w:ascii="仿宋" w:hAnsi="仿宋" w:eastAsia="仿宋" w:cs="仿宋"/>
          <w:spacing w:val="8"/>
          <w:sz w:val="32"/>
          <w:szCs w:val="32"/>
        </w:rPr>
        <w:t>方案，</w:t>
      </w:r>
      <w:r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  <w:t>办公室负责统筹工作，纪念馆属于业务科室，负责接待讲解宣传党务等工作</w:t>
      </w:r>
      <w:r>
        <w:rPr>
          <w:rFonts w:ascii="仿宋" w:hAnsi="仿宋" w:eastAsia="仿宋" w:cs="仿宋"/>
          <w:spacing w:val="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80" w:lineRule="exact"/>
        <w:ind w:left="636"/>
        <w:outlineLvl w:val="2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30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21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21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21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年度部门预决算情况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211" w:line="580" w:lineRule="exact"/>
        <w:ind w:left="8" w:right="81" w:firstLine="62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5"/>
          <w:sz w:val="32"/>
          <w:szCs w:val="32"/>
        </w:rPr>
        <w:t xml:space="preserve">市财政局批复部门年度总收入预算 </w:t>
      </w:r>
      <w:r>
        <w:rPr>
          <w:rFonts w:hint="eastAsia" w:ascii="Times New Roman" w:hAnsi="Times New Roman" w:eastAsia="宋体" w:cs="Times New Roman"/>
          <w:spacing w:val="5"/>
          <w:sz w:val="32"/>
          <w:szCs w:val="32"/>
          <w:lang w:val="en-US" w:eastAsia="zh-CN"/>
        </w:rPr>
        <w:t>819.33</w:t>
      </w:r>
      <w:r>
        <w:rPr>
          <w:rFonts w:ascii="Times New Roman" w:hAnsi="Times New Roman" w:eastAsia="Times New Roman" w:cs="Times New Roman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5"/>
          <w:sz w:val="32"/>
          <w:szCs w:val="32"/>
        </w:rPr>
        <w:t>万元</w:t>
      </w:r>
      <w:r>
        <w:rPr>
          <w:rFonts w:ascii="仿宋" w:hAnsi="仿宋" w:eastAsia="仿宋" w:cs="仿宋"/>
          <w:spacing w:val="3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总</w:t>
      </w:r>
      <w:r>
        <w:rPr>
          <w:rFonts w:ascii="仿宋" w:hAnsi="仿宋" w:eastAsia="仿宋" w:cs="仿宋"/>
          <w:spacing w:val="1"/>
          <w:sz w:val="32"/>
          <w:szCs w:val="32"/>
        </w:rPr>
        <w:t>支出预算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448.16</w:t>
      </w:r>
      <w:r>
        <w:rPr>
          <w:rFonts w:ascii="仿宋" w:hAnsi="仿宋" w:eastAsia="仿宋" w:cs="仿宋"/>
          <w:sz w:val="32"/>
          <w:szCs w:val="32"/>
        </w:rPr>
        <w:t>万元。</w:t>
      </w:r>
      <w:r>
        <w:rPr>
          <w:rFonts w:ascii="仿宋" w:hAnsi="仿宋" w:eastAsia="仿宋" w:cs="仿宋"/>
          <w:spacing w:val="10"/>
          <w:sz w:val="32"/>
          <w:szCs w:val="32"/>
        </w:rPr>
        <w:t>政府采购</w:t>
      </w:r>
      <w:r>
        <w:rPr>
          <w:rFonts w:hint="eastAsia" w:ascii="仿宋" w:hAnsi="仿宋" w:eastAsia="仿宋" w:cs="仿宋"/>
          <w:spacing w:val="10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pacing w:val="10"/>
          <w:sz w:val="32"/>
          <w:szCs w:val="32"/>
          <w:lang w:val="en-US" w:eastAsia="zh-CN"/>
        </w:rPr>
        <w:t>105万，</w:t>
      </w:r>
      <w:r>
        <w:rPr>
          <w:rFonts w:ascii="仿宋" w:hAnsi="仿宋" w:eastAsia="仿宋" w:cs="仿宋"/>
          <w:spacing w:val="2"/>
          <w:sz w:val="32"/>
          <w:szCs w:val="32"/>
        </w:rPr>
        <w:t>政</w:t>
      </w:r>
      <w:r>
        <w:rPr>
          <w:rFonts w:ascii="仿宋" w:hAnsi="仿宋" w:eastAsia="仿宋" w:cs="仿宋"/>
          <w:spacing w:val="1"/>
          <w:sz w:val="32"/>
          <w:szCs w:val="32"/>
        </w:rPr>
        <w:t>府购买服务预算</w:t>
      </w:r>
      <w:r>
        <w:rPr>
          <w:rFonts w:hint="eastAsia" w:ascii="仿宋" w:hAnsi="仿宋" w:eastAsia="仿宋" w:cs="仿宋"/>
          <w:spacing w:val="1"/>
          <w:sz w:val="32"/>
          <w:szCs w:val="32"/>
          <w:lang w:val="en-US" w:eastAsia="zh-CN"/>
        </w:rPr>
        <w:t>18.8万，基本支出预算371.18万，预算</w:t>
      </w:r>
      <w:r>
        <w:rPr>
          <w:rFonts w:ascii="仿宋" w:hAnsi="仿宋" w:eastAsia="仿宋" w:cs="仿宋"/>
          <w:spacing w:val="1"/>
          <w:sz w:val="32"/>
          <w:szCs w:val="32"/>
        </w:rPr>
        <w:t>执行率为</w:t>
      </w:r>
      <w:r>
        <w:rPr>
          <w:rFonts w:hint="eastAsia" w:ascii="Times New Roman" w:hAnsi="Times New Roman" w:eastAsia="宋体" w:cs="Times New Roman"/>
          <w:spacing w:val="1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Times New Roman" w:cs="Times New Roman"/>
          <w:spacing w:val="1"/>
          <w:sz w:val="32"/>
          <w:szCs w:val="32"/>
        </w:rPr>
        <w:t>%</w:t>
      </w:r>
      <w:r>
        <w:rPr>
          <w:rFonts w:ascii="仿宋" w:hAnsi="仿宋" w:eastAsia="仿宋" w:cs="仿宋"/>
          <w:spacing w:val="1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80" w:lineRule="exact"/>
        <w:ind w:left="701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-4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-4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4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楷体" w:hAnsi="楷体" w:eastAsia="楷体" w:cs="楷体"/>
          <w:spacing w:val="-4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3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-2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2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部门整体绩效目标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91" w:line="580" w:lineRule="exact"/>
        <w:ind w:left="7" w:right="81" w:firstLine="711"/>
        <w:rPr>
          <w:rFonts w:ascii="仿宋" w:hAnsi="仿宋" w:eastAsia="仿宋" w:cs="仿宋"/>
          <w:spacing w:val="7"/>
          <w:sz w:val="32"/>
          <w:szCs w:val="32"/>
        </w:rPr>
      </w:pPr>
      <w:r>
        <w:rPr>
          <w:rFonts w:ascii="仿宋" w:hAnsi="仿宋" w:eastAsia="仿宋" w:cs="仿宋"/>
          <w:spacing w:val="22"/>
          <w:sz w:val="32"/>
          <w:szCs w:val="32"/>
        </w:rPr>
        <w:t>结</w:t>
      </w:r>
      <w:r>
        <w:rPr>
          <w:rFonts w:ascii="仿宋" w:hAnsi="仿宋" w:eastAsia="仿宋" w:cs="仿宋"/>
          <w:spacing w:val="12"/>
          <w:sz w:val="32"/>
          <w:szCs w:val="32"/>
        </w:rPr>
        <w:t>合部门年初设定的目标，根据评价情况，部门整体</w:t>
      </w:r>
      <w:r>
        <w:rPr>
          <w:rFonts w:ascii="仿宋" w:hAnsi="仿宋" w:eastAsia="仿宋" w:cs="仿宋"/>
          <w:spacing w:val="15"/>
          <w:sz w:val="32"/>
          <w:szCs w:val="32"/>
        </w:rPr>
        <w:t>年度绩效目标完成情况</w:t>
      </w: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如下，</w:t>
      </w:r>
      <w:r>
        <w:rPr>
          <w:rFonts w:ascii="仿宋" w:hAnsi="仿宋" w:eastAsia="仿宋" w:cs="仿宋"/>
          <w:spacing w:val="15"/>
          <w:sz w:val="32"/>
          <w:szCs w:val="32"/>
        </w:rPr>
        <w:t>主要绩效指标与部门年度主要任</w:t>
      </w:r>
      <w:r>
        <w:rPr>
          <w:rFonts w:ascii="仿宋" w:hAnsi="仿宋" w:eastAsia="仿宋" w:cs="仿宋"/>
          <w:spacing w:val="9"/>
          <w:sz w:val="32"/>
          <w:szCs w:val="32"/>
        </w:rPr>
        <w:t>务</w:t>
      </w:r>
      <w:r>
        <w:rPr>
          <w:rFonts w:ascii="仿宋" w:hAnsi="仿宋" w:eastAsia="仿宋" w:cs="仿宋"/>
          <w:spacing w:val="12"/>
          <w:sz w:val="32"/>
          <w:szCs w:val="32"/>
        </w:rPr>
        <w:t>和</w:t>
      </w:r>
      <w:r>
        <w:rPr>
          <w:rFonts w:ascii="仿宋" w:hAnsi="仿宋" w:eastAsia="仿宋" w:cs="仿宋"/>
          <w:spacing w:val="7"/>
          <w:sz w:val="32"/>
          <w:szCs w:val="32"/>
        </w:rPr>
        <w:t>年度总体目标相对应。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91" w:line="580" w:lineRule="exact"/>
        <w:ind w:left="7" w:right="81" w:firstLine="711"/>
        <w:rPr>
          <w:rFonts w:hint="eastAsia" w:ascii="仿宋" w:hAnsi="仿宋" w:eastAsia="仿宋" w:cs="仿宋"/>
          <w:spacing w:val="7"/>
          <w:sz w:val="32"/>
          <w:szCs w:val="32"/>
        </w:rPr>
      </w:pPr>
      <w:r>
        <w:rPr>
          <w:rFonts w:hint="eastAsia" w:ascii="仿宋" w:hAnsi="仿宋" w:eastAsia="仿宋" w:cs="仿宋"/>
          <w:spacing w:val="7"/>
          <w:sz w:val="32"/>
          <w:szCs w:val="32"/>
        </w:rPr>
        <w:t>目标1：树牢大局意识，强化责任，科学管理，让游人有个舒适整洁美好环境。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91" w:line="580" w:lineRule="exact"/>
        <w:ind w:left="7" w:right="81" w:firstLine="711"/>
        <w:rPr>
          <w:rFonts w:hint="eastAsia" w:ascii="仿宋" w:hAnsi="仿宋" w:eastAsia="仿宋" w:cs="仿宋"/>
          <w:spacing w:val="7"/>
          <w:sz w:val="32"/>
          <w:szCs w:val="32"/>
        </w:rPr>
      </w:pPr>
      <w:r>
        <w:rPr>
          <w:rFonts w:hint="eastAsia" w:ascii="仿宋" w:hAnsi="仿宋" w:eastAsia="仿宋" w:cs="仿宋"/>
          <w:spacing w:val="7"/>
          <w:sz w:val="32"/>
          <w:szCs w:val="32"/>
        </w:rPr>
        <w:t>目标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7"/>
          <w:sz w:val="32"/>
          <w:szCs w:val="32"/>
        </w:rPr>
        <w:t>：充分发挥爱国主义教育基地及红色教育景区作用，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提高服务水平，强化品牌效应</w:t>
      </w:r>
      <w:r>
        <w:rPr>
          <w:rFonts w:hint="eastAsia" w:ascii="仿宋" w:hAnsi="仿宋" w:eastAsia="仿宋" w:cs="仿宋"/>
          <w:spacing w:val="7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91" w:line="580" w:lineRule="exact"/>
        <w:ind w:left="7" w:right="81" w:firstLine="71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7"/>
          <w:sz w:val="32"/>
          <w:szCs w:val="32"/>
        </w:rPr>
        <w:t>目标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7"/>
          <w:sz w:val="32"/>
          <w:szCs w:val="32"/>
        </w:rPr>
        <w:t>：加强思想政治理论学习，压实工作责任，完善陵园设施建设。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80" w:lineRule="exact"/>
        <w:ind w:left="653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0"/>
          <w:position w:val="2"/>
          <w:sz w:val="32"/>
          <w:szCs w:val="32"/>
        </w:rPr>
        <w:t>二</w:t>
      </w:r>
      <w:r>
        <w:rPr>
          <w:rFonts w:ascii="黑体" w:hAnsi="黑体" w:eastAsia="黑体" w:cs="黑体"/>
          <w:spacing w:val="8"/>
          <w:position w:val="2"/>
          <w:sz w:val="32"/>
          <w:szCs w:val="32"/>
        </w:rPr>
        <w:t>、绩效评价工作开展情况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44" w:line="580" w:lineRule="exact"/>
        <w:ind w:left="636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1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1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楷体" w:hAnsi="楷体" w:eastAsia="楷体" w:cs="楷体"/>
          <w:spacing w:val="1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1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1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1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绩</w:t>
      </w:r>
      <w:r>
        <w:rPr>
          <w:rFonts w:ascii="楷体" w:hAnsi="楷体" w:eastAsia="楷体" w:cs="楷体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效评价目的、对象和范围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92" w:line="580" w:lineRule="exact"/>
        <w:ind w:left="11" w:right="81" w:firstLine="645"/>
        <w:rPr>
          <w:rFonts w:ascii="仿宋" w:hAnsi="仿宋" w:eastAsia="仿宋" w:cs="仿宋"/>
          <w:spacing w:val="15"/>
          <w:sz w:val="32"/>
          <w:szCs w:val="32"/>
        </w:rPr>
      </w:pPr>
      <w:r>
        <w:rPr>
          <w:rFonts w:hint="eastAsia" w:ascii="仿宋" w:hAnsi="仿宋" w:eastAsia="仿宋" w:cs="仿宋"/>
          <w:spacing w:val="15"/>
          <w:sz w:val="32"/>
          <w:szCs w:val="32"/>
          <w:lang w:eastAsia="zh-CN"/>
        </w:rPr>
        <w:t>本次绩效评价工作目的是加强财政支出管理，强化财政支出责任，提高专项资金的使用效益。评价对象是本部门</w:t>
      </w:r>
      <w:r>
        <w:rPr>
          <w:rFonts w:hint="eastAsia" w:ascii="仿宋" w:hAnsi="仿宋" w:eastAsia="仿宋" w:cs="仿宋"/>
          <w:spacing w:val="15"/>
          <w:sz w:val="32"/>
          <w:szCs w:val="32"/>
          <w:lang w:val="en-US" w:eastAsia="zh-CN"/>
        </w:rPr>
        <w:t>2022年度基本运转经费和项目支出，对其资金的投入和使用以及工作效果进行综合评价。通过</w:t>
      </w:r>
      <w:r>
        <w:rPr>
          <w:rFonts w:ascii="仿宋" w:hAnsi="仿宋" w:eastAsia="仿宋" w:cs="仿宋"/>
          <w:spacing w:val="15"/>
          <w:sz w:val="32"/>
          <w:szCs w:val="32"/>
        </w:rPr>
        <w:t>全面总结经验，查找问题，分析原因并提出改进措施，为优化资金配置效率和使用效益提供重要参考依据。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" w:line="580" w:lineRule="exact"/>
        <w:ind w:left="626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18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9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9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9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绩效评价原则、评价指标体系、评价方法和评价标准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" w:line="580" w:lineRule="exact"/>
        <w:ind w:left="66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1.评价原</w:t>
      </w:r>
      <w:r>
        <w:rPr>
          <w:rFonts w:ascii="仿宋" w:hAnsi="仿宋" w:eastAsia="仿宋" w:cs="仿宋"/>
          <w:spacing w:val="2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则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54" w:line="580" w:lineRule="exact"/>
        <w:ind w:left="11" w:right="81" w:firstLine="627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3"/>
          <w:sz w:val="32"/>
          <w:szCs w:val="32"/>
        </w:rPr>
        <w:t>(1) 科学规范。注重财政支出的经济性、效</w:t>
      </w:r>
      <w:r>
        <w:rPr>
          <w:rFonts w:ascii="仿宋" w:hAnsi="仿宋" w:eastAsia="仿宋" w:cs="仿宋"/>
          <w:spacing w:val="2"/>
          <w:sz w:val="32"/>
          <w:szCs w:val="32"/>
        </w:rPr>
        <w:t>率</w:t>
      </w:r>
      <w:r>
        <w:rPr>
          <w:rFonts w:ascii="仿宋" w:hAnsi="仿宋" w:eastAsia="仿宋" w:cs="仿宋"/>
          <w:sz w:val="32"/>
          <w:szCs w:val="32"/>
        </w:rPr>
        <w:t>性</w:t>
      </w:r>
      <w:r>
        <w:rPr>
          <w:rFonts w:ascii="仿宋" w:hAnsi="仿宋" w:eastAsia="仿宋" w:cs="仿宋"/>
          <w:spacing w:val="28"/>
          <w:sz w:val="32"/>
          <w:szCs w:val="32"/>
        </w:rPr>
        <w:t>和</w:t>
      </w:r>
      <w:r>
        <w:rPr>
          <w:rFonts w:ascii="仿宋" w:hAnsi="仿宋" w:eastAsia="仿宋" w:cs="仿宋"/>
          <w:spacing w:val="20"/>
          <w:sz w:val="32"/>
          <w:szCs w:val="32"/>
        </w:rPr>
        <w:t>有</w:t>
      </w:r>
      <w:r>
        <w:rPr>
          <w:rFonts w:ascii="仿宋" w:hAnsi="仿宋" w:eastAsia="仿宋" w:cs="仿宋"/>
          <w:spacing w:val="14"/>
          <w:sz w:val="32"/>
          <w:szCs w:val="32"/>
        </w:rPr>
        <w:t>效性，严格遵循既定程序，采取定量</w:t>
      </w:r>
      <w:r>
        <w:rPr>
          <w:rFonts w:hint="eastAsia" w:ascii="仿宋" w:hAnsi="仿宋" w:eastAsia="仿宋" w:cs="仿宋"/>
          <w:spacing w:val="14"/>
          <w:sz w:val="32"/>
          <w:szCs w:val="32"/>
          <w:lang w:eastAsia="zh-CN"/>
        </w:rPr>
        <w:t>和</w:t>
      </w:r>
      <w:r>
        <w:rPr>
          <w:rFonts w:ascii="仿宋" w:hAnsi="仿宋" w:eastAsia="仿宋" w:cs="仿宋"/>
          <w:spacing w:val="14"/>
          <w:sz w:val="32"/>
          <w:szCs w:val="32"/>
        </w:rPr>
        <w:t>定性分析相结合的</w:t>
      </w:r>
      <w:r>
        <w:rPr>
          <w:rFonts w:ascii="仿宋" w:hAnsi="仿宋" w:eastAsia="仿宋" w:cs="仿宋"/>
          <w:sz w:val="32"/>
          <w:szCs w:val="32"/>
        </w:rPr>
        <w:t>方法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3" w:line="580" w:lineRule="exact"/>
        <w:ind w:firstLine="63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(2) 公开公正。客观公正</w:t>
      </w: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-5"/>
          <w:sz w:val="32"/>
          <w:szCs w:val="32"/>
        </w:rPr>
        <w:t>标准统一、资料可靠</w:t>
      </w: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7"/>
          <w:sz w:val="32"/>
          <w:szCs w:val="32"/>
        </w:rPr>
        <w:t>依</w:t>
      </w:r>
      <w:r>
        <w:rPr>
          <w:rFonts w:ascii="仿宋" w:hAnsi="仿宋" w:eastAsia="仿宋" w:cs="仿宋"/>
          <w:spacing w:val="6"/>
          <w:sz w:val="32"/>
          <w:szCs w:val="32"/>
        </w:rPr>
        <w:t>法公开。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80" w:lineRule="exact"/>
        <w:ind w:left="6" w:right="81" w:firstLine="63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"/>
          <w:sz w:val="32"/>
          <w:szCs w:val="32"/>
        </w:rPr>
        <w:t>(3) 绩效相关。针对具体支出及产出绩效进</w:t>
      </w:r>
      <w:r>
        <w:rPr>
          <w:rFonts w:ascii="仿宋" w:hAnsi="仿宋" w:eastAsia="仿宋" w:cs="仿宋"/>
          <w:spacing w:val="2"/>
          <w:sz w:val="32"/>
          <w:szCs w:val="32"/>
        </w:rPr>
        <w:t>行</w:t>
      </w:r>
      <w:r>
        <w:rPr>
          <w:rFonts w:ascii="仿宋" w:hAnsi="仿宋" w:eastAsia="仿宋" w:cs="仿宋"/>
          <w:sz w:val="32"/>
          <w:szCs w:val="32"/>
        </w:rPr>
        <w:t>评</w:t>
      </w:r>
      <w:r>
        <w:rPr>
          <w:rFonts w:ascii="仿宋" w:hAnsi="仿宋" w:eastAsia="仿宋" w:cs="仿宋"/>
          <w:spacing w:val="11"/>
          <w:sz w:val="32"/>
          <w:szCs w:val="32"/>
        </w:rPr>
        <w:t>价</w:t>
      </w:r>
      <w:r>
        <w:rPr>
          <w:rFonts w:ascii="仿宋" w:hAnsi="仿宋" w:eastAsia="仿宋" w:cs="仿宋"/>
          <w:spacing w:val="9"/>
          <w:sz w:val="32"/>
          <w:szCs w:val="32"/>
        </w:rPr>
        <w:t>，结果清晰反映支出和产出绩效之间的密切对应关系。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" w:line="580" w:lineRule="exact"/>
        <w:ind w:left="65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6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.评价指标体系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84" w:line="580" w:lineRule="exact"/>
        <w:ind w:right="89" w:firstLine="740" w:firstLineChars="200"/>
        <w:rPr>
          <w:rFonts w:ascii="仿宋" w:hAnsi="仿宋" w:eastAsia="仿宋" w:cs="仿宋"/>
          <w:spacing w:val="25"/>
          <w:sz w:val="32"/>
          <w:szCs w:val="32"/>
        </w:rPr>
      </w:pPr>
      <w:r>
        <w:rPr>
          <w:rFonts w:ascii="仿宋" w:hAnsi="仿宋" w:eastAsia="仿宋" w:cs="仿宋"/>
          <w:spacing w:val="25"/>
          <w:sz w:val="32"/>
          <w:szCs w:val="32"/>
        </w:rPr>
        <w:t>设置《</w:t>
      </w:r>
      <w:r>
        <w:rPr>
          <w:rFonts w:hint="eastAsia" w:ascii="仿宋" w:hAnsi="仿宋" w:eastAsia="仿宋" w:cs="仿宋"/>
          <w:spacing w:val="25"/>
          <w:sz w:val="32"/>
          <w:szCs w:val="32"/>
          <w:lang w:val="en-US" w:eastAsia="zh-CN"/>
        </w:rPr>
        <w:t>2022</w:t>
      </w:r>
      <w:r>
        <w:rPr>
          <w:rFonts w:ascii="仿宋" w:hAnsi="仿宋" w:eastAsia="仿宋" w:cs="仿宋"/>
          <w:spacing w:val="25"/>
          <w:sz w:val="32"/>
          <w:szCs w:val="32"/>
        </w:rPr>
        <w:t>年度部门整体绩效评价指标体系》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，分</w:t>
      </w:r>
      <w:r>
        <w:rPr>
          <w:rFonts w:ascii="仿宋" w:hAnsi="仿宋" w:eastAsia="仿宋" w:cs="仿宋"/>
          <w:spacing w:val="25"/>
          <w:sz w:val="32"/>
          <w:szCs w:val="32"/>
        </w:rPr>
        <w:t>别从决策、过程、产出和效益四个方面进行评价，</w:t>
      </w:r>
      <w:r>
        <w:rPr>
          <w:rFonts w:hint="eastAsia" w:ascii="仿宋" w:hAnsi="仿宋" w:eastAsia="仿宋" w:cs="仿宋"/>
          <w:spacing w:val="25"/>
          <w:sz w:val="32"/>
          <w:szCs w:val="32"/>
        </w:rPr>
        <w:t>对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专项</w:t>
      </w:r>
      <w:r>
        <w:rPr>
          <w:rFonts w:hint="eastAsia" w:ascii="仿宋" w:hAnsi="仿宋" w:eastAsia="仿宋" w:cs="仿宋"/>
          <w:spacing w:val="25"/>
          <w:sz w:val="32"/>
          <w:szCs w:val="32"/>
        </w:rPr>
        <w:t>资金的使用、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爱国主义教育基地的管理政策</w:t>
      </w:r>
      <w:r>
        <w:rPr>
          <w:rFonts w:hint="eastAsia" w:ascii="仿宋" w:hAnsi="仿宋" w:eastAsia="仿宋" w:cs="仿宋"/>
          <w:spacing w:val="25"/>
          <w:sz w:val="32"/>
          <w:szCs w:val="32"/>
        </w:rPr>
        <w:t>落实工作及绩效进行全面考核，从而形成评价结论，撰写绩效评价报告。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86" w:line="580" w:lineRule="exact"/>
        <w:ind w:left="66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3.评价方法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84" w:line="580" w:lineRule="exact"/>
        <w:ind w:left="6" w:right="89" w:firstLine="636"/>
        <w:rPr>
          <w:rFonts w:ascii="仿宋" w:hAnsi="仿宋" w:eastAsia="仿宋" w:cs="仿宋"/>
          <w:spacing w:val="25"/>
          <w:sz w:val="32"/>
          <w:szCs w:val="32"/>
        </w:rPr>
      </w:pPr>
      <w:r>
        <w:rPr>
          <w:rFonts w:ascii="仿宋" w:hAnsi="仿宋" w:eastAsia="仿宋" w:cs="仿宋"/>
          <w:spacing w:val="25"/>
          <w:sz w:val="32"/>
          <w:szCs w:val="32"/>
        </w:rPr>
        <w:t>本次评价结合资金特点，主要采用比较法、因素分析法和公众评判法。通过对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产出指标、效益指标</w:t>
      </w:r>
      <w:r>
        <w:rPr>
          <w:rFonts w:ascii="仿宋" w:hAnsi="仿宋" w:eastAsia="仿宋" w:cs="仿宋"/>
          <w:spacing w:val="25"/>
          <w:sz w:val="32"/>
          <w:szCs w:val="32"/>
        </w:rPr>
        <w:t>等核心指标的采集、分析、对比，评价部门整体年度目标实现情况；对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烈士纪念设施管理等项目的评价</w:t>
      </w:r>
      <w:r>
        <w:rPr>
          <w:rFonts w:ascii="仿宋" w:hAnsi="仿宋" w:eastAsia="仿宋" w:cs="仿宋"/>
          <w:spacing w:val="25"/>
          <w:sz w:val="32"/>
          <w:szCs w:val="32"/>
        </w:rPr>
        <w:t>过程，采用因素分析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法</w:t>
      </w:r>
      <w:r>
        <w:rPr>
          <w:rFonts w:ascii="仿宋" w:hAnsi="仿宋" w:eastAsia="仿宋" w:cs="仿宋"/>
          <w:spacing w:val="25"/>
          <w:sz w:val="32"/>
          <w:szCs w:val="32"/>
        </w:rPr>
        <w:t>，现场查看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、考察、调研项目成果</w:t>
      </w:r>
      <w:r>
        <w:rPr>
          <w:rFonts w:ascii="仿宋" w:hAnsi="仿宋" w:eastAsia="仿宋" w:cs="仿宋"/>
          <w:spacing w:val="25"/>
          <w:sz w:val="32"/>
          <w:szCs w:val="32"/>
        </w:rPr>
        <w:t>等评价方式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，了解</w:t>
      </w:r>
      <w:r>
        <w:rPr>
          <w:rFonts w:ascii="仿宋" w:hAnsi="仿宋" w:eastAsia="仿宋" w:cs="仿宋"/>
          <w:spacing w:val="25"/>
          <w:sz w:val="32"/>
          <w:szCs w:val="32"/>
        </w:rPr>
        <w:t>部门工作开展情况以及产生的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实际</w:t>
      </w:r>
      <w:r>
        <w:rPr>
          <w:rFonts w:ascii="仿宋" w:hAnsi="仿宋" w:eastAsia="仿宋" w:cs="仿宋"/>
          <w:spacing w:val="25"/>
          <w:sz w:val="32"/>
          <w:szCs w:val="32"/>
        </w:rPr>
        <w:t>效益，分析受益对象满意情况。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" w:line="580" w:lineRule="exact"/>
        <w:ind w:left="6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4</w:t>
      </w:r>
      <w:r>
        <w:rPr>
          <w:rFonts w:ascii="仿宋" w:hAnsi="仿宋" w:eastAsia="仿宋" w:cs="仿宋"/>
          <w:spacing w:val="5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.评价标准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84" w:line="580" w:lineRule="exact"/>
        <w:ind w:left="6" w:right="89" w:firstLine="636"/>
        <w:rPr>
          <w:rFonts w:ascii="楷体" w:hAnsi="楷体" w:eastAsia="楷体" w:cs="楷体"/>
          <w:spacing w:val="-4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仿宋" w:hAnsi="仿宋" w:eastAsia="仿宋" w:cs="仿宋"/>
          <w:spacing w:val="25"/>
          <w:sz w:val="32"/>
          <w:szCs w:val="32"/>
        </w:rPr>
        <w:t>本次评价采用百分制，评价结果分为 “优、良、中、差”四个等级。得分90(含)-100分为优、80(含)-90分为良、60(含)-80分为中、60分以下为差。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" w:line="580" w:lineRule="exact"/>
        <w:ind w:left="635"/>
        <w:rPr>
          <w:rFonts w:ascii="楷体" w:hAnsi="楷体" w:eastAsia="楷体" w:cs="楷体"/>
          <w:spacing w:val="-2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楷体" w:hAnsi="楷体" w:eastAsia="楷体" w:cs="楷体"/>
          <w:spacing w:val="-4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-4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4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楷体" w:hAnsi="楷体" w:eastAsia="楷体" w:cs="楷体"/>
          <w:spacing w:val="-4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3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-2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2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绩效评价工作过程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84" w:line="580" w:lineRule="exact"/>
        <w:ind w:left="6" w:right="89" w:firstLine="636"/>
        <w:rPr>
          <w:rFonts w:ascii="仿宋" w:hAnsi="仿宋" w:eastAsia="仿宋" w:cs="仿宋"/>
          <w:spacing w:val="25"/>
          <w:sz w:val="32"/>
          <w:szCs w:val="32"/>
        </w:rPr>
      </w:pPr>
      <w:r>
        <w:rPr>
          <w:rFonts w:ascii="仿宋" w:hAnsi="仿宋" w:eastAsia="仿宋" w:cs="仿宋"/>
          <w:spacing w:val="25"/>
          <w:sz w:val="32"/>
          <w:szCs w:val="32"/>
        </w:rPr>
        <w:t>评价组在前期调研基础上，完成了绩效评价方案，制定了 指标体系、问卷调查等，明确了评价目的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25"/>
          <w:sz w:val="32"/>
          <w:szCs w:val="32"/>
        </w:rPr>
        <w:t>方法。评价组严格按照评价方案，通过调研座谈</w:t>
      </w:r>
      <w:r>
        <w:rPr>
          <w:rFonts w:hint="eastAsia" w:ascii="仿宋" w:hAnsi="仿宋" w:eastAsia="仿宋" w:cs="仿宋"/>
          <w:spacing w:val="25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25"/>
          <w:sz w:val="32"/>
          <w:szCs w:val="32"/>
        </w:rPr>
        <w:t>相关文件的学习、数据采集、问卷调查、数据分析、指标评分和报告撰写等环节，顺利完成了本次绩效评价工作。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" w:line="580" w:lineRule="exact"/>
        <w:ind w:left="65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9"/>
          <w:sz w:val="32"/>
          <w:szCs w:val="32"/>
        </w:rPr>
        <w:t>三</w:t>
      </w:r>
      <w:r>
        <w:rPr>
          <w:rFonts w:ascii="黑体" w:hAnsi="黑体" w:eastAsia="黑体" w:cs="黑体"/>
          <w:spacing w:val="8"/>
          <w:sz w:val="32"/>
          <w:szCs w:val="32"/>
        </w:rPr>
        <w:t>、综合评价情况及评价结论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59" w:line="580" w:lineRule="exact"/>
        <w:ind w:firstLine="616" w:firstLineChars="200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-6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-5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5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楷体" w:hAnsi="楷体" w:eastAsia="楷体" w:cs="楷体"/>
          <w:spacing w:val="-5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5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-5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-5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综合评价情况</w:t>
      </w:r>
    </w:p>
    <w:p>
      <w:pPr>
        <w:pStyle w:val="8"/>
        <w:keepNext w:val="0"/>
        <w:keepLines w:val="0"/>
        <w:pageBreakBefore w:val="0"/>
        <w:widowControl/>
        <w:suppressAutoHyphens w:val="0"/>
        <w:wordWrap/>
        <w:overflowPunct/>
        <w:topLinePunct w:val="0"/>
        <w:bidi w:val="0"/>
        <w:spacing w:before="0" w:after="0" w:line="580" w:lineRule="exact"/>
        <w:ind w:right="0" w:firstLine="680" w:firstLineChars="200"/>
        <w:jc w:val="both"/>
        <w:rPr>
          <w:rFonts w:hint="default" w:ascii="仿宋" w:hAnsi="仿宋" w:eastAsia="仿宋" w:cs="仿宋"/>
          <w:strike/>
          <w:dstrike w:val="0"/>
          <w:sz w:val="32"/>
          <w:szCs w:val="32"/>
          <w:em w:val="dot"/>
          <w:lang w:val="en-US" w:eastAsia="zh-CN"/>
        </w:rPr>
      </w:pPr>
      <w:r>
        <w:rPr>
          <w:rFonts w:ascii="仿宋" w:hAnsi="仿宋" w:eastAsia="仿宋" w:cs="仿宋"/>
          <w:spacing w:val="10"/>
          <w:sz w:val="32"/>
          <w:szCs w:val="32"/>
          <w:lang w:val="en-US" w:eastAsia="zh-CN"/>
        </w:rPr>
        <w:t>宿州烈士陵园认真执行年初部门预算和财政政策要求，工作经费安排严格按照年初预算执行，</w:t>
      </w:r>
      <w:r>
        <w:rPr>
          <w:rFonts w:hint="eastAsia" w:ascii="仿宋" w:hAnsi="仿宋" w:eastAsia="仿宋" w:cs="仿宋"/>
          <w:spacing w:val="10"/>
          <w:sz w:val="32"/>
          <w:szCs w:val="32"/>
          <w:lang w:val="en-US" w:eastAsia="zh-CN"/>
        </w:rPr>
        <w:t>资金的使用严格把关，所有项目的运行严格按照管理制度以及政府和财政制度的规定执行，</w:t>
      </w:r>
      <w:r>
        <w:rPr>
          <w:rFonts w:ascii="仿宋" w:hAnsi="仿宋" w:eastAsia="仿宋" w:cs="仿宋"/>
          <w:spacing w:val="10"/>
          <w:sz w:val="32"/>
          <w:szCs w:val="32"/>
          <w:lang w:val="en-US" w:eastAsia="zh-CN"/>
        </w:rPr>
        <w:t>认真学习政府会计制度，财经法规，严格执行财经纪律，预防违法违纪行为</w:t>
      </w:r>
      <w:r>
        <w:rPr>
          <w:rFonts w:ascii="仿宋" w:hAnsi="仿宋" w:eastAsia="仿宋" w:cs="仿宋"/>
          <w:strike w:val="0"/>
          <w:dstrike w:val="0"/>
          <w:spacing w:val="10"/>
          <w:sz w:val="32"/>
          <w:szCs w:val="32"/>
          <w:lang w:val="en-US" w:eastAsia="zh-CN"/>
        </w:rPr>
        <w:t>发生。</w:t>
      </w:r>
      <w:r>
        <w:rPr>
          <w:rFonts w:ascii="仿宋" w:hAnsi="仿宋" w:eastAsia="仿宋" w:cs="仿宋"/>
          <w:strike w:val="0"/>
          <w:dstrike w:val="0"/>
          <w:spacing w:val="10"/>
          <w:sz w:val="32"/>
          <w:szCs w:val="32"/>
        </w:rPr>
        <w:t>评价</w:t>
      </w:r>
      <w:r>
        <w:rPr>
          <w:rFonts w:ascii="仿宋" w:hAnsi="仿宋" w:eastAsia="仿宋" w:cs="仿宋"/>
          <w:strike w:val="0"/>
          <w:dstrike w:val="0"/>
          <w:spacing w:val="7"/>
          <w:sz w:val="32"/>
          <w:szCs w:val="32"/>
        </w:rPr>
        <w:t>发</w:t>
      </w:r>
      <w:r>
        <w:rPr>
          <w:rFonts w:ascii="仿宋" w:hAnsi="仿宋" w:eastAsia="仿宋" w:cs="仿宋"/>
          <w:strike w:val="0"/>
          <w:dstrike w:val="0"/>
          <w:spacing w:val="5"/>
          <w:sz w:val="32"/>
          <w:szCs w:val="32"/>
        </w:rPr>
        <w:t>现</w:t>
      </w: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  <w:t>，</w:t>
      </w:r>
      <w:r>
        <w:rPr>
          <w:rFonts w:ascii="仿宋" w:hAnsi="仿宋" w:eastAsia="仿宋" w:cs="仿宋"/>
          <w:spacing w:val="9"/>
          <w:sz w:val="32"/>
          <w:szCs w:val="32"/>
        </w:rPr>
        <w:t>基本完成了部门年度目标。通过项目实施，产</w:t>
      </w:r>
      <w:r>
        <w:rPr>
          <w:rFonts w:ascii="仿宋" w:hAnsi="仿宋" w:eastAsia="仿宋" w:cs="仿宋"/>
          <w:spacing w:val="-20"/>
          <w:sz w:val="32"/>
          <w:szCs w:val="32"/>
        </w:rPr>
        <w:t>生</w:t>
      </w:r>
      <w:r>
        <w:rPr>
          <w:rFonts w:ascii="仿宋" w:hAnsi="仿宋" w:eastAsia="仿宋" w:cs="仿宋"/>
          <w:spacing w:val="-18"/>
          <w:sz w:val="32"/>
          <w:szCs w:val="32"/>
        </w:rPr>
        <w:t>了</w:t>
      </w:r>
      <w:r>
        <w:rPr>
          <w:rFonts w:hint="eastAsia" w:ascii="仿宋" w:hAnsi="仿宋" w:eastAsia="仿宋" w:cs="仿宋"/>
          <w:spacing w:val="-10"/>
          <w:sz w:val="32"/>
          <w:szCs w:val="32"/>
          <w:lang w:eastAsia="zh-CN"/>
        </w:rPr>
        <w:t>良好的社会</w:t>
      </w:r>
      <w:r>
        <w:rPr>
          <w:rFonts w:ascii="仿宋" w:hAnsi="仿宋" w:eastAsia="仿宋" w:cs="仿宋"/>
          <w:spacing w:val="-10"/>
          <w:sz w:val="32"/>
          <w:szCs w:val="32"/>
        </w:rPr>
        <w:t>效益，具体是</w:t>
      </w:r>
      <w:r>
        <w:rPr>
          <w:rFonts w:hint="eastAsia" w:ascii="仿宋" w:hAnsi="仿宋" w:eastAsia="仿宋" w:cs="仿宋"/>
          <w:spacing w:val="-10"/>
          <w:sz w:val="32"/>
          <w:szCs w:val="32"/>
          <w:lang w:eastAsia="zh-CN"/>
        </w:rPr>
        <w:t>为陵园提供</w:t>
      </w:r>
      <w:r>
        <w:rPr>
          <w:rFonts w:ascii="仿宋" w:hAnsi="仿宋" w:eastAsia="仿宋" w:cstheme="minorBidi"/>
          <w:b w:val="0"/>
          <w:color w:val="auto"/>
          <w:kern w:val="0"/>
          <w:sz w:val="32"/>
          <w:szCs w:val="32"/>
          <w:lang w:val="en-US" w:eastAsia="zh-CN" w:bidi="ar-SA"/>
        </w:rPr>
        <w:t>安全保卫、卫生保洁、绿化养护、森林防火等物业服务管理，</w:t>
      </w:r>
      <w:r>
        <w:rPr>
          <w:rFonts w:hint="eastAsia" w:ascii="仿宋" w:hAnsi="仿宋" w:eastAsia="仿宋" w:cstheme="minorBidi"/>
          <w:b w:val="0"/>
          <w:color w:val="auto"/>
          <w:kern w:val="0"/>
          <w:sz w:val="32"/>
          <w:szCs w:val="32"/>
          <w:lang w:val="en-US" w:eastAsia="zh-CN" w:bidi="ar-SA"/>
        </w:rPr>
        <w:t>进一步</w:t>
      </w:r>
      <w:r>
        <w:rPr>
          <w:rFonts w:ascii="仿宋" w:hAnsi="仿宋" w:eastAsia="仿宋" w:cstheme="minorBidi"/>
          <w:b w:val="0"/>
          <w:color w:val="auto"/>
          <w:kern w:val="0"/>
          <w:sz w:val="32"/>
          <w:szCs w:val="32"/>
          <w:lang w:val="en-US" w:eastAsia="zh-CN" w:bidi="ar-SA"/>
        </w:rPr>
        <w:t>提高</w:t>
      </w:r>
      <w:r>
        <w:rPr>
          <w:rFonts w:hint="eastAsia" w:ascii="仿宋" w:hAnsi="仿宋" w:eastAsia="仿宋" w:cstheme="minorBidi"/>
          <w:b w:val="0"/>
          <w:color w:val="auto"/>
          <w:kern w:val="0"/>
          <w:sz w:val="32"/>
          <w:szCs w:val="32"/>
          <w:lang w:val="en-US" w:eastAsia="zh-CN" w:bidi="ar-SA"/>
        </w:rPr>
        <w:t>陵园</w:t>
      </w:r>
      <w:r>
        <w:rPr>
          <w:rFonts w:ascii="仿宋" w:hAnsi="仿宋" w:eastAsia="仿宋" w:cstheme="minorBidi"/>
          <w:b w:val="0"/>
          <w:color w:val="auto"/>
          <w:kern w:val="0"/>
          <w:sz w:val="32"/>
          <w:szCs w:val="32"/>
          <w:lang w:val="en-US" w:eastAsia="zh-CN" w:bidi="ar-SA"/>
        </w:rPr>
        <w:t>服务水平，增加红色主题氛围。</w:t>
      </w:r>
      <w:r>
        <w:rPr>
          <w:rFonts w:ascii="仿宋" w:hAnsi="仿宋" w:eastAsia="仿宋" w:cs="仿宋"/>
          <w:spacing w:val="-10"/>
          <w:sz w:val="32"/>
          <w:szCs w:val="32"/>
        </w:rPr>
        <w:t>但也存在</w:t>
      </w:r>
      <w:r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  <w:t>预算执行过程中监管力度不够，项目评价指标不够细化等问题。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80" w:lineRule="exact"/>
        <w:ind w:left="632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25"/>
          <w:position w:val="19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楷体" w:hAnsi="楷体" w:eastAsia="楷体" w:cs="楷体"/>
          <w:spacing w:val="25"/>
          <w:position w:val="19"/>
          <w:sz w:val="32"/>
          <w:szCs w:val="32"/>
        </w:rPr>
        <w:t xml:space="preserve"> </w:t>
      </w:r>
      <w:r>
        <w:rPr>
          <w:rFonts w:ascii="楷体" w:hAnsi="楷体" w:eastAsia="楷体" w:cs="楷体"/>
          <w:spacing w:val="25"/>
          <w:position w:val="19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评价得分情</w:t>
      </w:r>
      <w:r>
        <w:rPr>
          <w:rFonts w:ascii="楷体" w:hAnsi="楷体" w:eastAsia="楷体" w:cs="楷体"/>
          <w:spacing w:val="24"/>
          <w:position w:val="19"/>
          <w:sz w:val="32"/>
          <w:szCs w:val="32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80" w:lineRule="exact"/>
        <w:ind w:firstLine="664" w:firstLineChars="200"/>
        <w:rPr>
          <w:rFonts w:ascii="Arial"/>
          <w:sz w:val="21"/>
        </w:rPr>
      </w:pPr>
      <w:r>
        <w:rPr>
          <w:rFonts w:ascii="仿宋" w:hAnsi="仿宋" w:eastAsia="仿宋" w:cs="仿宋"/>
          <w:spacing w:val="6"/>
          <w:sz w:val="32"/>
          <w:szCs w:val="32"/>
        </w:rPr>
        <w:t>评价组按照评价方案确立的总体思路，对照评价指标体系，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2"/>
          <w:sz w:val="32"/>
          <w:szCs w:val="32"/>
        </w:rPr>
        <w:t>重点围</w:t>
      </w:r>
      <w:r>
        <w:rPr>
          <w:rFonts w:ascii="仿宋" w:hAnsi="仿宋" w:eastAsia="仿宋" w:cs="仿宋"/>
          <w:spacing w:val="8"/>
          <w:sz w:val="32"/>
          <w:szCs w:val="32"/>
        </w:rPr>
        <w:t>绕</w:t>
      </w:r>
      <w:r>
        <w:rPr>
          <w:rFonts w:ascii="仿宋" w:hAnsi="仿宋" w:eastAsia="仿宋" w:cs="仿宋"/>
          <w:spacing w:val="6"/>
          <w:sz w:val="32"/>
          <w:szCs w:val="32"/>
        </w:rPr>
        <w:t>项目决策、过程、产出和效益四个方面内容，根据</w:t>
      </w:r>
      <w:r>
        <w:rPr>
          <w:rFonts w:hint="eastAsia" w:ascii="仿宋" w:hAnsi="仿宋" w:eastAsia="仿宋" w:cs="仿宋"/>
          <w:sz w:val="32"/>
          <w:szCs w:val="32"/>
        </w:rPr>
        <w:t>财政部《关于印发&lt;项目支出绩效评价管理办法&gt;的通知》（财预〔2020〕10</w:t>
      </w:r>
      <w:r>
        <w:rPr>
          <w:rFonts w:hint="eastAsia" w:ascii="仿宋" w:hAnsi="仿宋" w:eastAsia="仿宋" w:cs="仿宋"/>
          <w:strike w:val="0"/>
          <w:dstrike w:val="0"/>
          <w:spacing w:val="6"/>
          <w:sz w:val="32"/>
          <w:szCs w:val="32"/>
        </w:rPr>
        <w:t>号），</w:t>
      </w:r>
      <w:r>
        <w:rPr>
          <w:rFonts w:ascii="仿宋" w:hAnsi="仿宋" w:eastAsia="仿宋" w:cs="仿宋"/>
          <w:strike w:val="0"/>
          <w:dstrike w:val="0"/>
          <w:spacing w:val="6"/>
          <w:sz w:val="32"/>
          <w:szCs w:val="32"/>
        </w:rPr>
        <w:t>结合</w:t>
      </w:r>
      <w:r>
        <w:rPr>
          <w:rFonts w:hint="eastAsia" w:ascii="仿宋" w:hAnsi="仿宋" w:eastAsia="仿宋" w:cs="仿宋"/>
          <w:strike w:val="0"/>
          <w:dstrike w:val="0"/>
          <w:spacing w:val="6"/>
          <w:sz w:val="32"/>
          <w:szCs w:val="32"/>
          <w:lang w:eastAsia="zh-CN"/>
        </w:rPr>
        <w:t>陵园</w:t>
      </w:r>
      <w:r>
        <w:rPr>
          <w:rFonts w:ascii="仿宋" w:hAnsi="仿宋" w:eastAsia="仿宋" w:cs="仿宋"/>
          <w:strike w:val="0"/>
          <w:dstrike w:val="0"/>
          <w:spacing w:val="6"/>
          <w:sz w:val="32"/>
          <w:szCs w:val="32"/>
        </w:rPr>
        <w:t>项目实施以及总体预算执行情况，采用百分制量化</w:t>
      </w:r>
      <w:r>
        <w:rPr>
          <w:rFonts w:ascii="仿宋" w:hAnsi="仿宋" w:eastAsia="仿宋" w:cs="仿宋"/>
          <w:spacing w:val="6"/>
          <w:sz w:val="32"/>
          <w:szCs w:val="32"/>
        </w:rPr>
        <w:t>评分。通过综合评价得出</w:t>
      </w:r>
      <w:r>
        <w:rPr>
          <w:rFonts w:hint="eastAsia" w:ascii="仿宋" w:hAnsi="仿宋" w:eastAsia="仿宋" w:cs="仿宋"/>
          <w:spacing w:val="6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pacing w:val="6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6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6"/>
          <w:sz w:val="32"/>
          <w:szCs w:val="32"/>
        </w:rPr>
        <w:t>年度</w:t>
      </w:r>
      <w:r>
        <w:rPr>
          <w:rFonts w:hint="eastAsia" w:ascii="仿宋" w:hAnsi="仿宋" w:eastAsia="仿宋" w:cs="仿宋"/>
          <w:spacing w:val="6"/>
          <w:sz w:val="32"/>
          <w:szCs w:val="32"/>
          <w:lang w:eastAsia="zh-CN"/>
        </w:rPr>
        <w:t>部门整体</w:t>
      </w:r>
      <w:r>
        <w:rPr>
          <w:rFonts w:hint="eastAsia" w:ascii="仿宋" w:hAnsi="仿宋" w:eastAsia="仿宋" w:cs="仿宋"/>
          <w:spacing w:val="6"/>
          <w:sz w:val="32"/>
          <w:szCs w:val="32"/>
        </w:rPr>
        <w:t>绩效评价综合得分为</w:t>
      </w:r>
      <w:r>
        <w:rPr>
          <w:rFonts w:hint="eastAsia" w:ascii="仿宋" w:hAnsi="仿宋" w:eastAsia="仿宋" w:cs="仿宋"/>
          <w:spacing w:val="6"/>
          <w:sz w:val="32"/>
          <w:szCs w:val="32"/>
          <w:lang w:val="en-US" w:eastAsia="zh-CN"/>
        </w:rPr>
        <w:t>95</w:t>
      </w:r>
      <w:bookmarkStart w:id="0" w:name="_GoBack"/>
      <w:bookmarkEnd w:id="0"/>
      <w:r>
        <w:rPr>
          <w:rFonts w:hint="eastAsia" w:ascii="仿宋" w:hAnsi="仿宋" w:eastAsia="仿宋" w:cs="仿宋"/>
          <w:spacing w:val="6"/>
          <w:sz w:val="32"/>
          <w:szCs w:val="32"/>
        </w:rPr>
        <w:t>分，评价等级为“</w:t>
      </w:r>
      <w:r>
        <w:rPr>
          <w:rFonts w:hint="eastAsia" w:ascii="仿宋" w:hAnsi="仿宋" w:eastAsia="仿宋" w:cs="仿宋"/>
          <w:spacing w:val="6"/>
          <w:sz w:val="32"/>
          <w:szCs w:val="32"/>
          <w:lang w:eastAsia="zh-CN"/>
        </w:rPr>
        <w:t>优</w:t>
      </w:r>
      <w:r>
        <w:rPr>
          <w:rFonts w:hint="eastAsia" w:ascii="仿宋" w:hAnsi="仿宋" w:eastAsia="仿宋" w:cs="仿宋"/>
          <w:spacing w:val="6"/>
          <w:sz w:val="32"/>
          <w:szCs w:val="32"/>
        </w:rPr>
        <w:t>”。具体评分见下表：</w:t>
      </w:r>
      <w:r>
        <w:pict>
          <v:rect id="_x0000_s1026" o:spid="_x0000_s1026" o:spt="1" style="position:absolute;left:0pt;margin-left:78.7pt;margin-top:218.85pt;height:0.5pt;width:461.15pt;mso-position-horizontal-relative:page;mso-position-vertical-relative:page;z-index:-25165619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</v:rect>
        </w:pict>
      </w:r>
    </w:p>
    <w:p>
      <w:pPr>
        <w:spacing w:before="120" w:line="184" w:lineRule="auto"/>
        <w:ind w:left="1623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2022年度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>部门整体绩效评价综合得分表</w:t>
      </w:r>
    </w:p>
    <w:tbl>
      <w:tblPr>
        <w:tblStyle w:val="7"/>
        <w:tblW w:w="9255" w:type="dxa"/>
        <w:tblInd w:w="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5"/>
        <w:gridCol w:w="1583"/>
        <w:gridCol w:w="1584"/>
        <w:gridCol w:w="1295"/>
        <w:gridCol w:w="1440"/>
        <w:gridCol w:w="1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045" w:type="dxa"/>
            <w:tcBorders>
              <w:right w:val="single" w:color="000000" w:sz="4" w:space="0"/>
            </w:tcBorders>
            <w:vAlign w:val="top"/>
          </w:tcPr>
          <w:p>
            <w:pPr>
              <w:spacing w:before="119" w:line="227" w:lineRule="auto"/>
              <w:ind w:left="6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评价指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</w:p>
        </w:tc>
        <w:tc>
          <w:tcPr>
            <w:tcW w:w="158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19" w:line="228" w:lineRule="auto"/>
              <w:ind w:left="5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决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策</w:t>
            </w:r>
          </w:p>
        </w:tc>
        <w:tc>
          <w:tcPr>
            <w:tcW w:w="158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19" w:line="229" w:lineRule="auto"/>
              <w:ind w:left="5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过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程</w:t>
            </w:r>
          </w:p>
        </w:tc>
        <w:tc>
          <w:tcPr>
            <w:tcW w:w="129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19" w:line="228" w:lineRule="auto"/>
              <w:ind w:left="4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产出</w:t>
            </w:r>
          </w:p>
        </w:tc>
        <w:tc>
          <w:tcPr>
            <w:tcW w:w="144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19" w:line="229" w:lineRule="auto"/>
              <w:ind w:left="5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效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益</w:t>
            </w:r>
          </w:p>
        </w:tc>
        <w:tc>
          <w:tcPr>
            <w:tcW w:w="1308" w:type="dxa"/>
            <w:tcBorders>
              <w:left w:val="single" w:color="000000" w:sz="4" w:space="0"/>
            </w:tcBorders>
            <w:vAlign w:val="top"/>
          </w:tcPr>
          <w:p>
            <w:pPr>
              <w:spacing w:before="119" w:line="230" w:lineRule="auto"/>
              <w:ind w:left="4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45" w:type="dxa"/>
            <w:tcBorders>
              <w:right w:val="single" w:color="000000" w:sz="4" w:space="0"/>
            </w:tcBorders>
            <w:vAlign w:val="top"/>
          </w:tcPr>
          <w:p>
            <w:pPr>
              <w:spacing w:before="97" w:line="228" w:lineRule="auto"/>
              <w:ind w:left="6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标准分值</w:t>
            </w:r>
          </w:p>
        </w:tc>
        <w:tc>
          <w:tcPr>
            <w:tcW w:w="158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1" w:line="190" w:lineRule="auto"/>
              <w:ind w:left="686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58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1" w:line="190" w:lineRule="auto"/>
              <w:ind w:left="687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9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1" w:line="190" w:lineRule="auto"/>
              <w:ind w:left="543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44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1" w:line="190" w:lineRule="auto"/>
              <w:ind w:left="616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308" w:type="dxa"/>
            <w:tcBorders>
              <w:left w:val="single" w:color="000000" w:sz="4" w:space="0"/>
            </w:tcBorders>
            <w:vAlign w:val="top"/>
          </w:tcPr>
          <w:p>
            <w:pPr>
              <w:spacing w:before="131" w:line="190" w:lineRule="auto"/>
              <w:ind w:left="544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045" w:type="dxa"/>
            <w:tcBorders>
              <w:right w:val="single" w:color="000000" w:sz="4" w:space="0"/>
            </w:tcBorders>
            <w:vAlign w:val="top"/>
          </w:tcPr>
          <w:p>
            <w:pPr>
              <w:spacing w:before="99" w:line="227" w:lineRule="auto"/>
              <w:ind w:left="6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评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价得分</w:t>
            </w:r>
          </w:p>
        </w:tc>
        <w:tc>
          <w:tcPr>
            <w:tcW w:w="158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4" w:line="190" w:lineRule="auto"/>
              <w:ind w:left="686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58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4" w:line="190" w:lineRule="auto"/>
              <w:ind w:left="687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29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4" w:line="190" w:lineRule="auto"/>
              <w:ind w:left="543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44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4" w:line="190" w:lineRule="auto"/>
              <w:ind w:left="616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308" w:type="dxa"/>
            <w:tcBorders>
              <w:left w:val="single" w:color="000000" w:sz="4" w:space="0"/>
            </w:tcBorders>
            <w:vAlign w:val="top"/>
          </w:tcPr>
          <w:p>
            <w:pPr>
              <w:spacing w:before="134" w:line="190" w:lineRule="auto"/>
              <w:ind w:left="544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2045" w:type="dxa"/>
            <w:tcBorders>
              <w:right w:val="single" w:color="000000" w:sz="4" w:space="0"/>
            </w:tcBorders>
            <w:vAlign w:val="top"/>
          </w:tcPr>
          <w:p>
            <w:pPr>
              <w:spacing w:before="101" w:line="228" w:lineRule="auto"/>
              <w:ind w:left="4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得分率 (%)</w:t>
            </w:r>
          </w:p>
        </w:tc>
        <w:tc>
          <w:tcPr>
            <w:tcW w:w="158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6" w:line="190" w:lineRule="auto"/>
              <w:ind w:left="686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58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6" w:line="190" w:lineRule="auto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90</w:t>
            </w:r>
          </w:p>
        </w:tc>
        <w:tc>
          <w:tcPr>
            <w:tcW w:w="129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6" w:line="190" w:lineRule="auto"/>
              <w:ind w:left="543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40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6" w:line="190" w:lineRule="auto"/>
              <w:ind w:left="616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1308" w:type="dxa"/>
            <w:tcBorders>
              <w:left w:val="single" w:color="000000" w:sz="4" w:space="0"/>
            </w:tcBorders>
            <w:vAlign w:val="top"/>
          </w:tcPr>
          <w:p>
            <w:pPr>
              <w:spacing w:before="136" w:line="190" w:lineRule="auto"/>
              <w:ind w:left="544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95</w:t>
            </w:r>
          </w:p>
        </w:tc>
      </w:tr>
    </w:tbl>
    <w:p>
      <w:pPr>
        <w:spacing w:before="177" w:line="234" w:lineRule="auto"/>
        <w:ind w:left="78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四</w:t>
      </w:r>
      <w:r>
        <w:rPr>
          <w:rFonts w:ascii="黑体" w:hAnsi="黑体" w:eastAsia="黑体" w:cs="黑体"/>
          <w:spacing w:val="6"/>
          <w:sz w:val="31"/>
          <w:szCs w:val="31"/>
        </w:rPr>
        <w:t>、绩效评价指标分析</w:t>
      </w:r>
    </w:p>
    <w:p>
      <w:pPr>
        <w:spacing w:before="166" w:line="343" w:lineRule="auto"/>
        <w:ind w:left="138" w:right="443" w:firstLine="627"/>
        <w:rPr>
          <w:rFonts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-4"/>
          <w:sz w:val="31"/>
          <w:szCs w:val="31"/>
          <w:lang w:val="en-US" w:eastAsia="zh-CN"/>
        </w:rPr>
        <w:t>2022</w:t>
      </w:r>
      <w:r>
        <w:rPr>
          <w:rFonts w:ascii="仿宋" w:hAnsi="仿宋" w:eastAsia="仿宋" w:cs="仿宋"/>
          <w:spacing w:val="-4"/>
          <w:sz w:val="31"/>
          <w:szCs w:val="31"/>
        </w:rPr>
        <w:t>年度部门整体</w:t>
      </w:r>
      <w:r>
        <w:rPr>
          <w:rFonts w:ascii="仿宋" w:hAnsi="仿宋" w:eastAsia="仿宋" w:cs="仿宋"/>
          <w:spacing w:val="-3"/>
          <w:sz w:val="31"/>
          <w:szCs w:val="31"/>
        </w:rPr>
        <w:t>绩</w:t>
      </w:r>
      <w:r>
        <w:rPr>
          <w:rFonts w:ascii="仿宋" w:hAnsi="仿宋" w:eastAsia="仿宋" w:cs="仿宋"/>
          <w:spacing w:val="-2"/>
          <w:sz w:val="31"/>
          <w:szCs w:val="31"/>
        </w:rPr>
        <w:t>效评价具体指标设置及分析详见</w:t>
      </w:r>
      <w:r>
        <w:rPr>
          <w:rFonts w:ascii="仿宋" w:hAnsi="仿宋" w:eastAsia="仿宋" w:cs="仿宋"/>
          <w:spacing w:val="-4"/>
          <w:sz w:val="31"/>
          <w:szCs w:val="31"/>
        </w:rPr>
        <w:t>下表</w:t>
      </w:r>
    </w:p>
    <w:p>
      <w:pPr>
        <w:spacing w:line="219" w:lineRule="auto"/>
        <w:ind w:left="1456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7"/>
          <w:sz w:val="28"/>
          <w:szCs w:val="28"/>
          <w:lang w:val="en-US" w:eastAsia="zh-CN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2022年度宿州烈士陵园</w:t>
      </w:r>
      <w:r>
        <w:rPr>
          <w:rFonts w:ascii="宋体" w:hAnsi="宋体" w:eastAsia="宋体" w:cs="宋体"/>
          <w:spacing w:val="-7"/>
          <w:sz w:val="28"/>
          <w:szCs w:val="28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部门整体评价指标评分情况分析表</w:t>
      </w:r>
    </w:p>
    <w:p>
      <w:pPr>
        <w:spacing w:line="19" w:lineRule="exact"/>
      </w:pPr>
    </w:p>
    <w:p>
      <w:pPr>
        <w:rPr>
          <w:rFonts w:ascii="Arial"/>
          <w:sz w:val="21"/>
        </w:rPr>
      </w:pPr>
    </w:p>
    <w:tbl>
      <w:tblPr>
        <w:tblStyle w:val="5"/>
        <w:tblW w:w="89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850"/>
        <w:gridCol w:w="2369"/>
        <w:gridCol w:w="4218"/>
        <w:gridCol w:w="6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tblHeader/>
        </w:trPr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一级</w:t>
            </w: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二级</w:t>
            </w: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指标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评价内容</w:t>
            </w: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评价情况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8" w:hRule="atLeast"/>
        </w:trPr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决策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（20分）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立项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 w:eastAsia="宋体"/>
                <w:lang w:val="en-US" w:eastAsia="zh-CN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1.项目立项是否符合法律法规、相关政策、发展规划以及部门职责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2.项目申请、设立过程是否符合相关要求</w:t>
            </w: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1.项目立项符合国家法律法规、国民经济发展规划和相关政策。依据评分标准得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2.项目按照规定的程序申请设立；审批文件、材料符合相关要求。依据评分标准得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绩效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目标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分）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1.项目所设定的绩效目标是否依据充分，是否符合客观实际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2.依据绩效目标设定的绩效指标是否清晰、细化、可衡量</w:t>
            </w: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1.项目绩效目标与实际工作内容具有相关性；项目预期产出效益和效果符合正常的业绩水平；与预算确定的项目资金量相匹配。依据评分标准得</w:t>
            </w:r>
            <w:r>
              <w:rPr>
                <w:rFonts w:hint="eastAsia" w:eastAsia="宋体"/>
                <w:lang w:val="en-US" w:eastAsia="zh-CN"/>
              </w:rPr>
              <w:t>2</w:t>
            </w:r>
            <w:r>
              <w:rPr>
                <w:rFonts w:hint="eastAsia"/>
              </w:rPr>
              <w:t>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2.通过清晰、可衡量的指标值予以体现；与项目目标任务数或计划数相对应。依据评分标准得3分。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资金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投入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分）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1.项目预算编制是否经过科学论证、有明确标准，资金额度与年度目标是否相适应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2.项目预算资金分配是否有测算依据，与补助单位或地方实际是否相适应</w:t>
            </w: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1.预算编制已经过科学论证；预算内容与项目内容匹配；预算额度测算依据充分，按照标准编制；预算确定的项目资金量与工作任务相匹配。依据评分标准3分。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2.预算资金分配依据充分；资金分配额度合理，与地方实际相适应。依据评分标准得</w:t>
            </w:r>
            <w:r>
              <w:rPr>
                <w:rFonts w:hint="eastAsia" w:eastAsia="宋体"/>
                <w:lang w:val="en-US" w:eastAsia="zh-CN"/>
              </w:rPr>
              <w:t>2</w:t>
            </w:r>
            <w:r>
              <w:rPr>
                <w:rFonts w:hint="eastAsia"/>
              </w:rPr>
              <w:t>分。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4" w:hRule="atLeast"/>
        </w:trPr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过程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（20分）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资金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管理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（1</w:t>
            </w:r>
            <w:r>
              <w:rPr>
                <w:rFonts w:hint="eastAsia" w:eastAsia="宋体"/>
                <w:lang w:val="en-US" w:eastAsia="zh-CN"/>
              </w:rPr>
              <w:t>0</w:t>
            </w:r>
            <w:r>
              <w:rPr>
                <w:rFonts w:hint="eastAsia"/>
              </w:rPr>
              <w:t>分）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1.实际到位资金与预算资金的比率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2.项目预算资金是否按照计划执行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3.项目资金使用是否符合相关的财务管理制度规定</w:t>
            </w: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1.资金使用率</w:t>
            </w:r>
            <w:r>
              <w:rPr>
                <w:rFonts w:hint="eastAsia" w:eastAsia="宋体"/>
                <w:highlight w:val="none"/>
                <w:lang w:val="en-US" w:eastAsia="zh-CN"/>
              </w:rPr>
              <w:t>100</w:t>
            </w:r>
            <w:r>
              <w:rPr>
                <w:rFonts w:hint="eastAsia"/>
                <w:highlight w:val="none"/>
              </w:rPr>
              <w:t>%，依据评分标准得</w:t>
            </w:r>
            <w:r>
              <w:rPr>
                <w:rFonts w:hint="eastAsia" w:eastAsia="宋体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highlight w:val="none"/>
              </w:rPr>
              <w:t>分。</w:t>
            </w:r>
          </w:p>
          <w:p>
            <w:pPr>
              <w:rPr>
                <w:rFonts w:hint="eastAsia"/>
              </w:rPr>
            </w:pPr>
            <w:r>
              <w:rPr>
                <w:rFonts w:hint="eastAsia" w:eastAsia="SimSun"/>
                <w:lang w:val="en-US" w:eastAsia="zh-CN"/>
              </w:rPr>
              <w:t>2</w:t>
            </w:r>
            <w:r>
              <w:rPr>
                <w:rFonts w:hint="eastAsia"/>
              </w:rPr>
              <w:t>.项目资金使用符合有关财务管理制度规定；资金的拨付有完整的审批程序和手续；未发现截留、挤占、挪用、虚列支出等情况。依据评分标准得</w:t>
            </w:r>
            <w:r>
              <w:rPr>
                <w:rFonts w:hint="eastAsia" w:eastAsia="SimSun"/>
                <w:lang w:val="en-US" w:eastAsia="zh-CN"/>
              </w:rPr>
              <w:t>3</w:t>
            </w:r>
            <w:r>
              <w:rPr>
                <w:rFonts w:hint="eastAsia"/>
              </w:rPr>
              <w:t>分。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组织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实施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 w:eastAsia="宋体"/>
                <w:lang w:val="en-US" w:eastAsia="zh-CN"/>
              </w:rPr>
              <w:t>10</w:t>
            </w:r>
            <w:r>
              <w:rPr>
                <w:rFonts w:hint="eastAsia"/>
              </w:rPr>
              <w:t>分）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1.项目实施单位的财务和业务管理制度是否健全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2.项目实施是否符合相关管理规定</w:t>
            </w: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1．已具有财务和业务管理制度且合法、合规；财务和业务管理制度完整</w:t>
            </w:r>
            <w:r>
              <w:rPr>
                <w:rFonts w:hint="eastAsia" w:eastAsia="宋体"/>
                <w:lang w:eastAsia="zh-CN"/>
              </w:rPr>
              <w:t>，</w:t>
            </w:r>
            <w:r>
              <w:rPr>
                <w:rFonts w:hint="eastAsia"/>
              </w:rPr>
              <w:t>依据评分标准得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2.工作经费纳入预算资金统一管理</w:t>
            </w:r>
            <w:r>
              <w:rPr>
                <w:rFonts w:hint="eastAsia" w:eastAsia="宋体"/>
                <w:lang w:eastAsia="zh-CN"/>
              </w:rPr>
              <w:t>，</w:t>
            </w:r>
            <w:r>
              <w:rPr>
                <w:rFonts w:hint="eastAsia"/>
              </w:rPr>
              <w:t>资金拨付资料齐全，并及时归档。依据评分标准得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产出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 w:eastAsia="宋体"/>
                <w:lang w:val="en-US" w:eastAsia="zh-CN"/>
              </w:rPr>
              <w:t>30</w:t>
            </w:r>
            <w:r>
              <w:rPr>
                <w:rFonts w:hint="eastAsia"/>
              </w:rPr>
              <w:t>分）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产出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 w:eastAsia="宋体"/>
                <w:lang w:val="en-US" w:eastAsia="zh-CN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eastAsia="宋体"/>
                <w:lang w:eastAsia="zh-CN"/>
              </w:rPr>
              <w:t>物业人员配置到位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eastAsia="宋体"/>
                <w:lang w:eastAsia="zh-CN"/>
              </w:rPr>
              <w:t>讲解员四名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eastAsia="宋体"/>
                <w:lang w:eastAsia="zh-CN"/>
              </w:rPr>
              <w:t>陵园基础设施维修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 w:eastAsia="宋体"/>
                <w:lang w:eastAsia="zh-CN"/>
              </w:rPr>
              <w:t>英名墙建立，包括配套的纪念台、纪念广场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 w:eastAsia="宋体"/>
                <w:lang w:eastAsia="zh-CN"/>
              </w:rPr>
              <w:t>员工工资、社保、补助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eastAsia="zh-CN"/>
              </w:rPr>
              <w:t>物业安保人员</w:t>
            </w:r>
            <w:r>
              <w:rPr>
                <w:rFonts w:hint="eastAsia"/>
                <w:lang w:val="en-US" w:eastAsia="zh-CN"/>
              </w:rPr>
              <w:t>19人，保洁人员12人，人员达标率100%，</w:t>
            </w:r>
            <w:r>
              <w:rPr>
                <w:rFonts w:hint="eastAsia"/>
              </w:rPr>
              <w:t>依据评分标准得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eastAsia="zh-CN"/>
              </w:rPr>
              <w:t>讲解员配置</w:t>
            </w:r>
            <w:r>
              <w:rPr>
                <w:rFonts w:hint="eastAsia"/>
                <w:lang w:val="en-US" w:eastAsia="zh-CN"/>
              </w:rPr>
              <w:t>4名，完成日常接待工作，负责宣传和讲解，</w:t>
            </w:r>
            <w:r>
              <w:rPr>
                <w:rFonts w:hint="eastAsia"/>
              </w:rPr>
              <w:t>依据评分标准得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eastAsia="zh-CN"/>
              </w:rPr>
              <w:t>英名墙镌刻全市四县一区八千多名烈士英名</w:t>
            </w:r>
            <w:r>
              <w:rPr>
                <w:rFonts w:hint="eastAsia"/>
                <w:highlight w:val="none"/>
                <w:lang w:eastAsia="zh-CN"/>
              </w:rPr>
              <w:t>，内容全面，</w:t>
            </w:r>
            <w:r>
              <w:rPr>
                <w:rFonts w:hint="eastAsia"/>
                <w:highlight w:val="none"/>
              </w:rPr>
              <w:t>依据评分标准得</w:t>
            </w:r>
            <w:r>
              <w:rPr>
                <w:rFonts w:hint="eastAsia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highlight w:val="none"/>
              </w:rPr>
              <w:t>分</w:t>
            </w:r>
            <w:r>
              <w:rPr>
                <w:rFonts w:hint="eastAsia"/>
                <w:highlight w:val="none"/>
                <w:lang w:eastAsia="zh-CN"/>
              </w:rPr>
              <w:t>。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          4.陵园基本运转支出包含人员工资、社保缴费、福利补助等，</w:t>
            </w:r>
            <w:r>
              <w:rPr>
                <w:rFonts w:hint="eastAsia"/>
                <w:highlight w:val="none"/>
              </w:rPr>
              <w:t>依据</w:t>
            </w:r>
            <w:r>
              <w:rPr>
                <w:rFonts w:hint="eastAsia"/>
              </w:rPr>
              <w:t>评分标准得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产出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成本 </w:t>
            </w:r>
          </w:p>
          <w:p>
            <w:pPr>
              <w:rPr>
                <w:rFonts w:hint="eastAsia"/>
              </w:rPr>
            </w:pPr>
            <w:r>
              <w:rPr>
                <w:rFonts w:hint="default"/>
              </w:rPr>
              <w:t>（</w:t>
            </w:r>
            <w:r>
              <w:rPr>
                <w:rFonts w:hint="eastAsia" w:eastAsia="宋体"/>
                <w:lang w:val="en-US" w:eastAsia="zh-CN"/>
              </w:rPr>
              <w:t>10</w:t>
            </w:r>
            <w:r>
              <w:rPr>
                <w:rFonts w:hint="default"/>
              </w:rPr>
              <w:t>分）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1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各项目按照合同约定付款。2</w:t>
            </w:r>
            <w:r>
              <w:rPr>
                <w:rFonts w:hint="eastAsia"/>
                <w:highlight w:val="none"/>
                <w:lang w:val="en-US" w:eastAsia="zh-CN"/>
              </w:rPr>
              <w:t>.基本支出</w:t>
            </w: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物业服务费用</w:t>
            </w:r>
            <w:r>
              <w:rPr>
                <w:rFonts w:hint="eastAsia" w:eastAsia="宋体"/>
                <w:lang w:val="en-US" w:eastAsia="zh-CN"/>
              </w:rPr>
              <w:t>105万，讲解员工资18.8万，防虫消防5.5万，陵园设施建设维修经费129万，基本运转经费371.18万，均为财政拨款，资金使用率100%，</w:t>
            </w:r>
            <w:r>
              <w:rPr>
                <w:rFonts w:hint="eastAsia"/>
              </w:rPr>
              <w:t>依据评分标准得</w:t>
            </w:r>
            <w:r>
              <w:rPr>
                <w:rFonts w:hint="eastAsia" w:eastAsia="宋体"/>
                <w:lang w:val="en-US" w:eastAsia="zh-CN"/>
              </w:rPr>
              <w:t>10</w:t>
            </w:r>
            <w:r>
              <w:rPr>
                <w:rFonts w:hint="eastAsia"/>
              </w:rPr>
              <w:t>分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2" w:hRule="atLeast"/>
        </w:trPr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效益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（3</w:t>
            </w:r>
            <w:r>
              <w:rPr>
                <w:rFonts w:hint="eastAsia" w:eastAsia="宋体"/>
                <w:lang w:val="en-US" w:eastAsia="zh-CN"/>
              </w:rPr>
              <w:t>0</w:t>
            </w:r>
            <w:r>
              <w:rPr>
                <w:rFonts w:hint="eastAsia"/>
              </w:rPr>
              <w:t>分）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社会效益（</w:t>
            </w:r>
            <w:r>
              <w:rPr>
                <w:rFonts w:hint="eastAsia" w:eastAsia="宋体"/>
                <w:lang w:val="en-US" w:eastAsia="zh-CN"/>
              </w:rPr>
              <w:t>15</w:t>
            </w:r>
            <w:r>
              <w:rPr>
                <w:rFonts w:hint="eastAsia"/>
              </w:rPr>
              <w:t>分）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陵园红色纪念设施进一步完善</w:t>
            </w:r>
          </w:p>
          <w:p>
            <w:pPr>
              <w:numPr>
                <w:ilvl w:val="0"/>
                <w:numId w:val="0"/>
              </w:num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eastAsia="宋体"/>
                <w:lang w:eastAsia="zh-CN"/>
              </w:rPr>
              <w:t>陵园服务水平得到提升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eastAsia="宋体"/>
                <w:lang w:eastAsia="zh-CN"/>
              </w:rPr>
              <w:t>陵园运转有序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 w:eastAsia="宋体"/>
                <w:lang w:eastAsia="zh-CN"/>
              </w:rPr>
              <w:t>陵园环境美化，卫生得到保障，绿化面积达到</w:t>
            </w:r>
            <w:r>
              <w:rPr>
                <w:rFonts w:hint="eastAsia" w:eastAsia="宋体"/>
                <w:lang w:val="en-US" w:eastAsia="zh-CN"/>
              </w:rPr>
              <w:t>62%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eastAsia="宋体"/>
                <w:lang w:eastAsia="zh-CN"/>
              </w:rPr>
              <w:t>目前陵园已经配套纪念馆、纪念碑、英名墙等纪念设施，丰富了红色资源</w:t>
            </w:r>
            <w:r>
              <w:rPr>
                <w:rFonts w:hint="eastAsia"/>
              </w:rPr>
              <w:t>。依据评分标准得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eastAsia="宋体"/>
                <w:lang w:eastAsia="zh-CN"/>
              </w:rPr>
              <w:t>讲解员接待及时，讲解完成度高</w:t>
            </w:r>
            <w:r>
              <w:rPr>
                <w:rFonts w:hint="eastAsia"/>
              </w:rPr>
              <w:t>。依据评分标准得</w:t>
            </w:r>
            <w:r>
              <w:rPr>
                <w:rFonts w:hint="eastAsia" w:eastAsia="SimSun"/>
                <w:lang w:val="en-US" w:eastAsia="zh-CN"/>
              </w:rPr>
              <w:t>3</w:t>
            </w:r>
            <w:r>
              <w:rPr>
                <w:rFonts w:hint="eastAsia"/>
              </w:rPr>
              <w:t>分。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eastAsia="宋体"/>
                <w:lang w:eastAsia="zh-CN"/>
              </w:rPr>
              <w:t>物业提供的服务美化了陵园的环境，实现了</w:t>
            </w:r>
            <w:r>
              <w:rPr>
                <w:rFonts w:hint="eastAsia" w:eastAsia="宋体"/>
                <w:lang w:val="en-US" w:eastAsia="zh-CN"/>
              </w:rPr>
              <w:t>24小时安保，对园林养护起到重要保障作用。</w:t>
            </w:r>
            <w:r>
              <w:rPr>
                <w:rFonts w:hint="eastAsia"/>
              </w:rPr>
              <w:t>依据评分标准得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</w:t>
            </w:r>
            <w:r>
              <w:rPr>
                <w:rFonts w:hint="eastAsia" w:eastAsia="宋体"/>
                <w:lang w:eastAsia="zh-CN"/>
              </w:rPr>
              <w:t>。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="SimSun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eastAsia="SimSun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可持续影响（5分）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增强陵园知名度，提高陵园红色基地的品牌影响力</w:t>
            </w: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eastAsia="宋体"/>
                <w:lang w:eastAsia="zh-CN"/>
              </w:rPr>
              <w:t>宿州烈士陵园已获得党史教育基地、全国爱国主义教育基地、新四军红色教育基地、国防和双拥教育基地、革命传统教育基地等</w:t>
            </w:r>
            <w:r>
              <w:rPr>
                <w:rFonts w:hint="eastAsia"/>
              </w:rPr>
              <w:t>，依据评分标准得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服务对象满意度（1</w:t>
            </w:r>
            <w:r>
              <w:rPr>
                <w:rFonts w:hint="eastAsia" w:eastAsia="宋体"/>
                <w:lang w:val="en-US" w:eastAsia="zh-CN"/>
              </w:rPr>
              <w:t>0</w:t>
            </w:r>
            <w:r>
              <w:rPr>
                <w:rFonts w:hint="eastAsia"/>
              </w:rPr>
              <w:t>分）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eastAsia="宋体"/>
                <w:lang w:eastAsia="zh-CN"/>
              </w:rPr>
              <w:t>服务</w:t>
            </w:r>
            <w:r>
              <w:rPr>
                <w:rFonts w:hint="eastAsia"/>
              </w:rPr>
              <w:t>对象满意度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eastAsia="宋体"/>
                <w:lang w:eastAsia="zh-CN"/>
              </w:rPr>
              <w:t>市民游客</w:t>
            </w:r>
            <w:r>
              <w:rPr>
                <w:rFonts w:hint="eastAsia"/>
              </w:rPr>
              <w:t>满意度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1.通过</w:t>
            </w:r>
            <w:r>
              <w:rPr>
                <w:rFonts w:hint="eastAsia" w:eastAsia="宋体"/>
                <w:lang w:eastAsia="zh-CN"/>
              </w:rPr>
              <w:t>对市民朋友的</w:t>
            </w:r>
            <w:r>
              <w:rPr>
                <w:rFonts w:hint="eastAsia"/>
              </w:rPr>
              <w:t>电话问卷调查，经统计</w:t>
            </w:r>
            <w:r>
              <w:rPr>
                <w:rFonts w:hint="eastAsia" w:eastAsia="宋体"/>
                <w:lang w:eastAsia="zh-CN"/>
              </w:rPr>
              <w:t>服务</w:t>
            </w:r>
            <w:r>
              <w:rPr>
                <w:rFonts w:hint="eastAsia"/>
              </w:rPr>
              <w:t>对象满意度为</w:t>
            </w:r>
            <w:r>
              <w:rPr>
                <w:rFonts w:hint="eastAsia" w:eastAsia="宋体"/>
                <w:lang w:val="en-US" w:eastAsia="zh-CN"/>
              </w:rPr>
              <w:t>95</w:t>
            </w:r>
            <w:r>
              <w:rPr>
                <w:rFonts w:hint="eastAsia"/>
              </w:rPr>
              <w:t>%。依据评分标准得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2.通过对</w:t>
            </w:r>
            <w:r>
              <w:rPr>
                <w:rFonts w:hint="eastAsia" w:eastAsia="宋体"/>
                <w:lang w:eastAsia="zh-CN"/>
              </w:rPr>
              <w:t>接待的团体单位的电话问卷调查，服务</w:t>
            </w:r>
            <w:r>
              <w:rPr>
                <w:rFonts w:hint="eastAsia"/>
              </w:rPr>
              <w:t>对象满意度为</w:t>
            </w:r>
            <w:r>
              <w:rPr>
                <w:rFonts w:hint="eastAsia" w:eastAsia="宋体"/>
                <w:lang w:val="en-US" w:eastAsia="zh-CN"/>
              </w:rPr>
              <w:t>100</w:t>
            </w:r>
            <w:r>
              <w:rPr>
                <w:rFonts w:hint="eastAsia"/>
              </w:rPr>
              <w:t>%。依据评分标准得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分。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总   分</w:t>
            </w:r>
          </w:p>
        </w:tc>
        <w:tc>
          <w:tcPr>
            <w:tcW w:w="2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95</w:t>
            </w:r>
          </w:p>
        </w:tc>
      </w:tr>
    </w:tbl>
    <w:p>
      <w:pPr>
        <w:spacing w:before="101" w:line="407" w:lineRule="exact"/>
        <w:ind w:left="655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11"/>
          <w:position w:val="2"/>
          <w:sz w:val="32"/>
          <w:szCs w:val="32"/>
        </w:rPr>
        <w:t>五</w:t>
      </w:r>
      <w:r>
        <w:rPr>
          <w:rFonts w:ascii="黑体" w:hAnsi="黑体" w:eastAsia="黑体" w:cs="黑体"/>
          <w:spacing w:val="10"/>
          <w:position w:val="2"/>
          <w:sz w:val="32"/>
          <w:szCs w:val="32"/>
        </w:rPr>
        <w:t>、主要经验及做法</w:t>
      </w:r>
    </w:p>
    <w:p>
      <w:pPr>
        <w:spacing w:before="167" w:line="334" w:lineRule="auto"/>
        <w:ind w:left="8" w:firstLine="633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（一）引入专业的物业管理，对陵园的共用设施设备进行运行和维修，对苗木绿地进行养护和管理，对全园进行巡视、检查，让陵园的物业管理责任主体更加清晰，在陵园卫生保洁、园林绿化、治安管理等方面达到更高的标准，给市民提供干净整洁、优美环境、文明有序的游园和祭扫环境。</w:t>
      </w:r>
    </w:p>
    <w:p>
      <w:pPr>
        <w:spacing w:before="167" w:line="334" w:lineRule="auto"/>
        <w:ind w:firstLine="676" w:firstLineChars="200"/>
        <w:rPr>
          <w:rFonts w:ascii="仿宋" w:hAnsi="仿宋" w:eastAsia="仿宋" w:cs="仿宋"/>
          <w:spacing w:val="9"/>
          <w:sz w:val="32"/>
          <w:szCs w:val="32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（二）专业的讲解员团队更能发挥陵园红色资源的优势，是联系烈士陵园和广大参观群众的纽带，是陵园对外宣传的窗口和形象，对陵园的日常工作开展起到重要作用。</w:t>
      </w:r>
    </w:p>
    <w:p>
      <w:pPr>
        <w:spacing w:before="167" w:line="334" w:lineRule="auto"/>
        <w:ind w:left="8" w:firstLine="633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（三）打造的烈士英名墙进一步丰富了烈士陵园的红色纪念设施，增加人民参观、开展革命纪念活动的场所，对凝聚人心力量，延续革命血脉，打造品牌文化具有重要意义。</w:t>
      </w:r>
    </w:p>
    <w:p>
      <w:pPr>
        <w:spacing w:before="178" w:line="231" w:lineRule="auto"/>
        <w:ind w:left="653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7"/>
          <w:sz w:val="32"/>
          <w:szCs w:val="32"/>
        </w:rPr>
        <w:t>六</w:t>
      </w:r>
      <w:r>
        <w:rPr>
          <w:rFonts w:ascii="黑体" w:hAnsi="黑体" w:eastAsia="黑体" w:cs="黑体"/>
          <w:spacing w:val="6"/>
          <w:sz w:val="32"/>
          <w:szCs w:val="32"/>
        </w:rPr>
        <w:t>、存在问题</w:t>
      </w:r>
    </w:p>
    <w:p>
      <w:pPr>
        <w:pStyle w:val="8"/>
        <w:widowControl/>
        <w:suppressAutoHyphens w:val="0"/>
        <w:bidi w:val="0"/>
        <w:spacing w:before="0" w:after="0" w:line="640" w:lineRule="exact"/>
        <w:ind w:left="0" w:right="0" w:firstLine="420"/>
        <w:jc w:val="both"/>
        <w:rPr>
          <w:rFonts w:hint="default" w:ascii="仿宋" w:hAnsi="仿宋" w:eastAsia="仿宋" w:cs="仿宋"/>
          <w:strike/>
          <w:dstrike w:val="0"/>
          <w:sz w:val="32"/>
          <w:szCs w:val="32"/>
          <w:em w:val="dot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2022年度</w:t>
      </w:r>
      <w:r>
        <w:rPr>
          <w:rFonts w:ascii="仿宋" w:hAnsi="仿宋" w:eastAsia="仿宋" w:cs="仿宋"/>
          <w:spacing w:val="-4"/>
          <w:sz w:val="32"/>
          <w:szCs w:val="32"/>
        </w:rPr>
        <w:t>部门整</w:t>
      </w:r>
      <w:r>
        <w:rPr>
          <w:rFonts w:ascii="仿宋" w:hAnsi="仿宋" w:eastAsia="仿宋" w:cs="仿宋"/>
          <w:spacing w:val="-2"/>
          <w:sz w:val="32"/>
          <w:szCs w:val="32"/>
        </w:rPr>
        <w:t>体在预算执行和项目实施过程中，存</w:t>
      </w:r>
      <w:r>
        <w:rPr>
          <w:rFonts w:ascii="仿宋" w:hAnsi="仿宋" w:eastAsia="仿宋" w:cs="仿宋"/>
          <w:spacing w:val="9"/>
          <w:sz w:val="32"/>
          <w:szCs w:val="32"/>
        </w:rPr>
        <w:t>在</w:t>
      </w:r>
      <w:r>
        <w:rPr>
          <w:rFonts w:ascii="仿宋" w:hAnsi="仿宋" w:eastAsia="仿宋" w:cs="仿宋"/>
          <w:spacing w:val="8"/>
          <w:sz w:val="32"/>
          <w:szCs w:val="32"/>
        </w:rPr>
        <w:t>一些问题和不足，主要表现在：</w:t>
      </w:r>
      <w:r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  <w:t>在预算执行过程中监管力度不够，项目评价指标不够细化。</w:t>
      </w:r>
    </w:p>
    <w:p>
      <w:pPr>
        <w:spacing w:before="174" w:line="235" w:lineRule="auto"/>
        <w:ind w:firstLine="684" w:firstLineChars="20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1"/>
          <w:sz w:val="32"/>
          <w:szCs w:val="32"/>
        </w:rPr>
        <w:t>七</w:t>
      </w:r>
      <w:r>
        <w:rPr>
          <w:rFonts w:ascii="黑体" w:hAnsi="黑体" w:eastAsia="黑体" w:cs="黑体"/>
          <w:spacing w:val="9"/>
          <w:sz w:val="32"/>
          <w:szCs w:val="32"/>
        </w:rPr>
        <w:t>、有关建议</w:t>
      </w:r>
    </w:p>
    <w:p>
      <w:pPr>
        <w:spacing w:before="188" w:line="333" w:lineRule="auto"/>
        <w:ind w:firstLine="65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5"/>
          <w:sz w:val="32"/>
          <w:szCs w:val="32"/>
        </w:rPr>
        <w:t>为充分发挥资金使用效益，提高财政资金使用效益，结合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6"/>
          <w:sz w:val="32"/>
          <w:szCs w:val="32"/>
        </w:rPr>
        <w:t>本</w:t>
      </w:r>
      <w:r>
        <w:rPr>
          <w:rFonts w:ascii="仿宋" w:hAnsi="仿宋" w:eastAsia="仿宋" w:cs="仿宋"/>
          <w:spacing w:val="15"/>
          <w:sz w:val="32"/>
          <w:szCs w:val="32"/>
        </w:rPr>
        <w:t>次</w:t>
      </w:r>
      <w:r>
        <w:rPr>
          <w:rFonts w:ascii="仿宋" w:hAnsi="仿宋" w:eastAsia="仿宋" w:cs="仿宋"/>
          <w:spacing w:val="8"/>
          <w:sz w:val="32"/>
          <w:szCs w:val="32"/>
        </w:rPr>
        <w:t>绩效评价发现的问题，提出如下建议：</w:t>
      </w:r>
    </w:p>
    <w:p>
      <w:pPr>
        <w:spacing w:before="193" w:line="346" w:lineRule="auto"/>
        <w:ind w:left="2" w:right="231" w:firstLine="625" w:firstLineChars="207"/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-9"/>
          <w:sz w:val="32"/>
          <w:szCs w:val="32"/>
        </w:rPr>
        <w:t>(一)</w:t>
      </w:r>
      <w:r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  <w:t>在预算管理方面我单位应积极与财政对接，切实落实好每一笔项目资金。在资产方面要完善</w:t>
      </w:r>
      <w:r>
        <w:rPr>
          <w:rFonts w:ascii="仿宋" w:hAnsi="仿宋" w:eastAsia="仿宋" w:cs="仿宋"/>
          <w:spacing w:val="14"/>
          <w:sz w:val="32"/>
          <w:szCs w:val="32"/>
        </w:rPr>
        <w:t>预算绩效管理的具体办法和操作细则，</w:t>
      </w:r>
      <w:r>
        <w:rPr>
          <w:rFonts w:hint="eastAsia" w:ascii="仿宋" w:hAnsi="仿宋" w:eastAsia="仿宋" w:cs="仿宋"/>
          <w:spacing w:val="-9"/>
          <w:sz w:val="32"/>
          <w:szCs w:val="32"/>
          <w:lang w:eastAsia="zh-CN"/>
        </w:rPr>
        <w:t>构建完整的资产管理的制度体系，保障资金使用安全。</w:t>
      </w:r>
    </w:p>
    <w:p>
      <w:pPr>
        <w:spacing w:before="193" w:line="346" w:lineRule="auto"/>
        <w:ind w:left="2" w:right="231" w:firstLine="625" w:firstLineChars="20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(</w:t>
      </w:r>
      <w:r>
        <w:rPr>
          <w:rFonts w:ascii="仿宋" w:hAnsi="仿宋" w:eastAsia="仿宋" w:cs="仿宋"/>
          <w:spacing w:val="-7"/>
          <w:sz w:val="32"/>
          <w:szCs w:val="32"/>
        </w:rPr>
        <w:t xml:space="preserve">二) </w:t>
      </w:r>
      <w:r>
        <w:rPr>
          <w:rFonts w:hint="eastAsia" w:ascii="仿宋" w:hAnsi="仿宋" w:eastAsia="仿宋" w:cs="仿宋"/>
          <w:spacing w:val="-7"/>
          <w:sz w:val="32"/>
          <w:szCs w:val="32"/>
          <w:lang w:eastAsia="zh-CN"/>
        </w:rPr>
        <w:t>在项目管理方面，要提高工作积极性，明确管理各主体的权责关系，</w:t>
      </w:r>
      <w:r>
        <w:rPr>
          <w:rFonts w:ascii="仿宋" w:hAnsi="仿宋" w:eastAsia="仿宋" w:cs="仿宋"/>
          <w:spacing w:val="5"/>
          <w:sz w:val="32"/>
          <w:szCs w:val="32"/>
        </w:rPr>
        <w:t>明确项目实施各环节责任，细化目标任务，</w:t>
      </w:r>
      <w:r>
        <w:rPr>
          <w:rFonts w:ascii="仿宋" w:hAnsi="仿宋" w:eastAsia="仿宋" w:cs="仿宋"/>
          <w:spacing w:val="15"/>
          <w:sz w:val="32"/>
          <w:szCs w:val="32"/>
        </w:rPr>
        <w:t>实化工作措施，对项目资金拨付、实施进度等实行全程动态</w:t>
      </w:r>
      <w:r>
        <w:rPr>
          <w:rFonts w:ascii="仿宋" w:hAnsi="仿宋" w:eastAsia="仿宋" w:cs="仿宋"/>
          <w:spacing w:val="12"/>
          <w:sz w:val="32"/>
          <w:szCs w:val="32"/>
        </w:rPr>
        <w:t>跟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1"/>
          <w:sz w:val="32"/>
          <w:szCs w:val="32"/>
        </w:rPr>
        <w:t>踪</w:t>
      </w:r>
      <w:r>
        <w:rPr>
          <w:rFonts w:ascii="仿宋" w:hAnsi="仿宋" w:eastAsia="仿宋" w:cs="仿宋"/>
          <w:spacing w:val="16"/>
          <w:sz w:val="32"/>
          <w:szCs w:val="32"/>
        </w:rPr>
        <w:t>监控，</w:t>
      </w:r>
      <w:r>
        <w:rPr>
          <w:rFonts w:ascii="仿宋" w:hAnsi="仿宋" w:eastAsia="仿宋" w:cs="仿宋"/>
          <w:spacing w:val="9"/>
          <w:sz w:val="32"/>
          <w:szCs w:val="32"/>
        </w:rPr>
        <w:t>充分发挥财政资金效益</w:t>
      </w:r>
      <w:r>
        <w:rPr>
          <w:rFonts w:ascii="仿宋" w:hAnsi="仿宋" w:eastAsia="仿宋" w:cs="仿宋"/>
          <w:spacing w:val="7"/>
          <w:sz w:val="32"/>
          <w:szCs w:val="32"/>
        </w:rPr>
        <w:t>。</w:t>
      </w:r>
    </w:p>
    <w:p>
      <w:pPr>
        <w:spacing w:before="182" w:line="235" w:lineRule="auto"/>
        <w:ind w:left="64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4"/>
          <w:sz w:val="32"/>
          <w:szCs w:val="32"/>
        </w:rPr>
        <w:t>八</w:t>
      </w:r>
      <w:r>
        <w:rPr>
          <w:rFonts w:ascii="黑体" w:hAnsi="黑体" w:eastAsia="黑体" w:cs="黑体"/>
          <w:spacing w:val="8"/>
          <w:sz w:val="32"/>
          <w:szCs w:val="32"/>
        </w:rPr>
        <w:t>、其他需要说明的问题</w:t>
      </w:r>
    </w:p>
    <w:p>
      <w:pPr>
        <w:pStyle w:val="2"/>
        <w:rPr>
          <w:rFonts w:hint="eastAsia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  <w:t>无</w:t>
      </w:r>
    </w:p>
    <w:sectPr>
      <w:footerReference r:id="rId8" w:type="default"/>
      <w:pgSz w:w="11906" w:h="16839"/>
      <w:pgMar w:top="1431" w:right="1530" w:bottom="975" w:left="1598" w:header="0" w:footer="598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6" w:lineRule="exact"/>
      <w:ind w:left="3825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39b8HAIAACs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dt/W/BwCAAAr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4" w:lineRule="exact"/>
      <w:ind w:left="4012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EHTBA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AQdMEA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4" w:lineRule="exact"/>
      <w:ind w:left="4014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MpAKU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6" w:lineRule="exact"/>
      <w:ind w:left="4012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4Kgg7HQIAACsEAAAOAAAAZHJz&#10;L2Uyb0RvYy54bWytU82O0zAQviPxDpbvNGkX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gqCDs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3F2CC8"/>
    <w:multiLevelType w:val="singleLevel"/>
    <w:tmpl w:val="9C3F2C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E28C323"/>
    <w:multiLevelType w:val="singleLevel"/>
    <w:tmpl w:val="FE28C3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E3NjQ4NDQwMWU2NzQ1NDNkN2Y3NmI5MTMyNTlkZDUifQ=="/>
  </w:docVars>
  <w:rsids>
    <w:rsidRoot w:val="00000000"/>
    <w:rsid w:val="07503BFE"/>
    <w:rsid w:val="1A596117"/>
    <w:rsid w:val="2C305562"/>
    <w:rsid w:val="302662DF"/>
    <w:rsid w:val="30F62C2A"/>
    <w:rsid w:val="50DE56A7"/>
    <w:rsid w:val="56FC68BE"/>
    <w:rsid w:val="69CD2B9A"/>
    <w:rsid w:val="707FC046"/>
    <w:rsid w:val="75E8126A"/>
    <w:rsid w:val="7EDF65E2"/>
    <w:rsid w:val="BDEE0304"/>
    <w:rsid w:val="BEFFC8FA"/>
    <w:rsid w:val="EBE72E12"/>
    <w:rsid w:val="EDFD94EA"/>
    <w:rsid w:val="FFFE15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2"/>
    <w:basedOn w:val="1"/>
    <w:qFormat/>
    <w:uiPriority w:val="99"/>
    <w:pPr>
      <w:spacing w:line="351" w:lineRule="atLeast"/>
      <w:ind w:firstLine="623"/>
      <w:textAlignment w:val="baseline"/>
    </w:pPr>
    <w:rPr>
      <w:rFonts w:eastAsia="仿宋_GB2312"/>
      <w:color w:val="000000"/>
      <w:sz w:val="31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正文1"/>
    <w:qFormat/>
    <w:uiPriority w:val="1"/>
    <w:pPr>
      <w:widowControl/>
      <w:suppressAutoHyphens w:val="0"/>
      <w:bidi w:val="0"/>
      <w:spacing w:before="0" w:after="0" w:line="360" w:lineRule="auto"/>
      <w:jc w:val="both"/>
    </w:pPr>
    <w:rPr>
      <w:rFonts w:eastAsia="仿宋_GB2312" w:asciiTheme="minorHAnsi" w:hAnsiTheme="minorHAnsi" w:cstheme="minorBidi"/>
      <w:color w:val="auto"/>
      <w:kern w:val="0"/>
      <w:sz w:val="32"/>
      <w:szCs w:val="32"/>
      <w:lang w:val="en-US" w:eastAsia="zh-CN" w:bidi="ar-SA"/>
    </w:rPr>
  </w:style>
  <w:style w:type="character" w:customStyle="1" w:styleId="9">
    <w:name w:val="font41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4805</Words>
  <Characters>5092</Characters>
  <TotalTime>35</TotalTime>
  <ScaleCrop>false</ScaleCrop>
  <LinksUpToDate>false</LinksUpToDate>
  <CharactersWithSpaces>5320</CharactersWithSpaces>
  <Application>WPS Office_11.8.2.10251_F1E327BC-269C-435d-A152-05C5408002CA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2023-04-27T17:01:00Z</dcterms:created>
  <dc:creator>Administrator</dc:creator>
  <cp:lastModifiedBy>greatwall</cp:lastModifiedBy>
  <cp:lastPrinted>2023-04-28T09:58:00Z</cp:lastPrinted>
  <dcterms:modified xsi:type="dcterms:W3CDTF">2023-08-23T17:47:34Z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2023-04-07T08:34:06Z</vt:filetime>
  </property>
  <property fmtid="{D5CDD505-2E9C-101B-9397-08002B2CF9AE}" pid="4" name="KSOProductBuildVer">
    <vt:lpwstr>2052-11.8.2.10251</vt:lpwstr>
  </property>
  <property fmtid="{D5CDD505-2E9C-101B-9397-08002B2CF9AE}" pid="5" name="ICV">
    <vt:lpwstr>0A33FEFF344A402DB463FB5293E4981B_12</vt:lpwstr>
  </property>
</Properties>
</file>