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B1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附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2</w:t>
      </w:r>
    </w:p>
    <w:p w14:paraId="3590779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《烈士评定通知书》填写说明</w:t>
      </w:r>
    </w:p>
    <w:bookmarkEnd w:id="0"/>
    <w:p w14:paraId="432AC26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CE47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1.20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月1日后评定为烈士的，均填发《烈士评定通知书》。</w:t>
      </w:r>
    </w:p>
    <w:p w14:paraId="17139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2.省级人民政府评定的烈士，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由各省级人民政府退役军人事务厅（局）统一编号、填发，上冠年份号及省份简称，号码数为6位，按照评定烈士时间由小到大依次编号。如，20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冀烈字第000001号。</w:t>
      </w:r>
    </w:p>
    <w:p w14:paraId="143C3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退役军人事务部评定的烈士，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由褒扬纪念司统一编号、填发，上冠年份号及退役军人事务部简称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（退役），号码数为6位，按照评定烈士时间由小到大依次编号。如，20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25退役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烈字第000001号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。</w:t>
      </w:r>
    </w:p>
    <w:p w14:paraId="7F2AD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应急管理部评定的烈士，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由队伍建设局统一编号、填发，上冠年份号、应急管理部简称（应急），号码数为6位，按照评定烈士时间由小到大依次编号。如，20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25应急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烈字第000001号。</w:t>
      </w:r>
    </w:p>
    <w:p w14:paraId="79E4E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军队评定的烈士，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由军队统一编号、烈士的评定机关填发，上冠年份号、军字，号码数为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1至2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位为各部门各单位，第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3至6位为各部门各单位所属单位，第7至12位为发放序号，按照评定烈士时间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军烈字第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010001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000001号。</w:t>
      </w:r>
    </w:p>
    <w:p w14:paraId="3C818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至少一式两份，一份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按照《烈士评定工作办法》发送至有关县级人民政府退役军人事务局，另一份归入烈士评定档案。属于《烈士评定工作办法》第二十九条、第三十条规定情形的，还应当抄送有关省级人民政府退役军人事务厅（局）。</w:t>
      </w:r>
    </w:p>
    <w:p w14:paraId="61605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全文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采取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A4纸双面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打印，正文应当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参照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党政机关公文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格式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标准，烈士信息表格内各信息项的文字采用楷体编辑。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在褒扬纪念信息管理系统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有关功能模块开发上线前，文书由发文单位自行编辑打印。功能模块上线后，文书由褒扬纪念信息管理系统自动填写生成，供各省级退役军人事务厅（局）和其他具备登录使用系统条件的发文单位下载打印。</w:t>
      </w:r>
    </w:p>
    <w:p w14:paraId="51A25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正文中的牺牲原因按照《烈士褒扬条例》或《军人抚恤优待条例》中的评定条件填写；依据1980年《革命烈士褒扬条例》及有关规定追认的烈士，通知书的牺牲原因，按照追认条件填写。</w:t>
      </w:r>
    </w:p>
    <w:p w14:paraId="36507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烈士信息表格中“月基本工资”项仅适用于军队烈士，由评定烈士的军队有关单位填写，评定机关是省级人民政府、退役军人事务部或应急管理部的，不填写。</w:t>
      </w:r>
    </w:p>
    <w:p w14:paraId="3BC8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烈士信息表格中“牺牲情形简要情况”项填写内容应当言简意赅，不得涉及国家或军事秘密。</w:t>
      </w:r>
    </w:p>
    <w:p w14:paraId="52B88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烈士信息表格中“亲属信息”项的人员范围及填写顺序为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烈士的父母（抚养人）、配偶、子女、兄弟姐妹。烈士亲属总人数超出表格预设行数的，可以增加序页并加盖骑缝章。</w:t>
      </w:r>
    </w:p>
    <w:p w14:paraId="76F29133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69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3C200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C200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B5DE7"/>
    <w:rsid w:val="77DB5DE7"/>
    <w:rsid w:val="DD5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2025-07-02T10:08:00Z</dcterms:created>
  <dc:creator>WPS_1717489222</dc:creator>
  <cp:lastModifiedBy>西江月下</cp:lastModifiedBy>
  <dcterms:modified xsi:type="dcterms:W3CDTF">2025-07-08T08:06:44Z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D41757C7BF80C03E14616C68DD889B67_43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